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DE052" w14:textId="77777777" w:rsidR="00541EDC" w:rsidRPr="00421D6F" w:rsidRDefault="00541EDC" w:rsidP="0032468F">
      <w:pPr>
        <w:bidi w:val="0"/>
        <w:ind w:right="-142"/>
        <w:jc w:val="center"/>
        <w:rPr>
          <w:rFonts w:ascii="Times New Roman" w:eastAsia="Times New Roman" w:hAnsi="Times New Roman" w:cs="Times New Roman"/>
          <w:b/>
          <w:bCs/>
          <w:sz w:val="24"/>
          <w:szCs w:val="24"/>
          <w:u w:val="single"/>
          <w:lang w:bidi="ar-BH"/>
        </w:rPr>
      </w:pPr>
    </w:p>
    <w:p w14:paraId="0E5358B3"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2E7E8A42" w14:textId="77777777" w:rsidR="002947A3" w:rsidRPr="00421D6F" w:rsidRDefault="002947A3" w:rsidP="0032468F">
      <w:pPr>
        <w:bidi w:val="0"/>
        <w:ind w:right="-142"/>
        <w:jc w:val="center"/>
        <w:rPr>
          <w:rFonts w:ascii="Times New Roman" w:eastAsia="Times New Roman" w:hAnsi="Times New Roman" w:cs="Times New Roman"/>
          <w:b/>
          <w:bCs/>
          <w:sz w:val="24"/>
          <w:szCs w:val="24"/>
          <w:lang w:bidi="ar-BH"/>
        </w:rPr>
      </w:pPr>
    </w:p>
    <w:p w14:paraId="478ADC42" w14:textId="77777777" w:rsidR="00EA45EF" w:rsidRPr="00421D6F" w:rsidRDefault="00EA45EF" w:rsidP="0032468F">
      <w:pPr>
        <w:bidi w:val="0"/>
        <w:ind w:right="-142"/>
        <w:jc w:val="center"/>
        <w:rPr>
          <w:rFonts w:ascii="Times New Roman" w:eastAsia="Times New Roman" w:hAnsi="Times New Roman" w:cs="Times New Roman"/>
          <w:b/>
          <w:bCs/>
          <w:sz w:val="24"/>
          <w:szCs w:val="24"/>
          <w:lang w:bidi="ar-BH"/>
        </w:rPr>
      </w:pPr>
    </w:p>
    <w:p w14:paraId="35309CBE" w14:textId="77777777" w:rsidR="002947A3" w:rsidRPr="00421D6F" w:rsidRDefault="002947A3" w:rsidP="0032468F">
      <w:pPr>
        <w:bidi w:val="0"/>
        <w:ind w:right="-142"/>
        <w:jc w:val="center"/>
        <w:rPr>
          <w:rFonts w:ascii="Times New Roman" w:eastAsia="Times New Roman" w:hAnsi="Times New Roman" w:cs="Times New Roman"/>
          <w:b/>
          <w:bCs/>
          <w:sz w:val="24"/>
          <w:szCs w:val="24"/>
          <w:lang w:bidi="ar-BH"/>
        </w:rPr>
      </w:pPr>
    </w:p>
    <w:p w14:paraId="24F9EF34" w14:textId="77777777" w:rsidR="002947A3" w:rsidRPr="00421D6F" w:rsidRDefault="002947A3" w:rsidP="0032468F">
      <w:pPr>
        <w:bidi w:val="0"/>
        <w:ind w:right="-142"/>
        <w:jc w:val="center"/>
        <w:rPr>
          <w:rFonts w:ascii="Times New Roman" w:eastAsia="Times New Roman" w:hAnsi="Times New Roman" w:cs="Times New Roman"/>
          <w:b/>
          <w:bCs/>
          <w:sz w:val="40"/>
          <w:szCs w:val="40"/>
          <w:lang w:bidi="ar-BH"/>
        </w:rPr>
      </w:pPr>
    </w:p>
    <w:p w14:paraId="235A70FD" w14:textId="77777777" w:rsidR="003F26AF" w:rsidRPr="00421D6F" w:rsidRDefault="00000000" w:rsidP="0032468F">
      <w:pPr>
        <w:bidi w:val="0"/>
        <w:ind w:right="-142"/>
        <w:jc w:val="center"/>
        <w:rPr>
          <w:rFonts w:ascii="Times New Roman" w:eastAsia="Times New Roman" w:hAnsi="Times New Roman" w:cs="Times New Roman"/>
          <w:b/>
          <w:bCs/>
          <w:sz w:val="40"/>
          <w:szCs w:val="40"/>
          <w:lang w:bidi="ar-BH"/>
        </w:rPr>
      </w:pPr>
      <w:r w:rsidRPr="00421D6F">
        <w:rPr>
          <w:rFonts w:ascii="Times New Roman" w:eastAsia="Times New Roman" w:hAnsi="Times New Roman" w:cs="Times New Roman"/>
          <w:b/>
          <w:bCs/>
          <w:sz w:val="40"/>
          <w:szCs w:val="40"/>
          <w:lang w:bidi="ar-BH"/>
        </w:rPr>
        <w:t>UAE Efforts</w:t>
      </w:r>
    </w:p>
    <w:p w14:paraId="5FAD5E3E" w14:textId="77777777" w:rsidR="00541EDC" w:rsidRPr="00421D6F" w:rsidRDefault="00000000" w:rsidP="0032468F">
      <w:pPr>
        <w:bidi w:val="0"/>
        <w:ind w:right="-142"/>
        <w:jc w:val="center"/>
        <w:rPr>
          <w:rFonts w:ascii="Times New Roman" w:eastAsia="Times New Roman" w:hAnsi="Times New Roman" w:cs="Times New Roman"/>
          <w:b/>
          <w:bCs/>
          <w:sz w:val="40"/>
          <w:szCs w:val="40"/>
          <w:lang w:bidi="ar-BH"/>
        </w:rPr>
      </w:pPr>
      <w:r w:rsidRPr="00421D6F">
        <w:rPr>
          <w:rFonts w:ascii="Times New Roman" w:eastAsia="Times New Roman" w:hAnsi="Times New Roman" w:cs="Times New Roman"/>
          <w:b/>
          <w:bCs/>
          <w:sz w:val="40"/>
          <w:szCs w:val="40"/>
          <w:lang w:bidi="ar-BH"/>
        </w:rPr>
        <w:t>to Promote and Safeguard Rights and Freedoms</w:t>
      </w:r>
    </w:p>
    <w:p w14:paraId="1905638B" w14:textId="77777777" w:rsidR="00541EDC" w:rsidRPr="00421D6F" w:rsidRDefault="00000000" w:rsidP="0032468F">
      <w:pPr>
        <w:bidi w:val="0"/>
        <w:ind w:right="-142"/>
        <w:jc w:val="center"/>
        <w:rPr>
          <w:rFonts w:ascii="Times New Roman" w:eastAsia="Times New Roman" w:hAnsi="Times New Roman" w:cs="Times New Roman"/>
          <w:b/>
          <w:bCs/>
          <w:sz w:val="40"/>
          <w:szCs w:val="40"/>
          <w:lang w:bidi="ar-BH"/>
        </w:rPr>
      </w:pPr>
      <w:r w:rsidRPr="00421D6F">
        <w:rPr>
          <w:rFonts w:ascii="Times New Roman" w:eastAsia="Times New Roman" w:hAnsi="Times New Roman" w:cs="Times New Roman"/>
          <w:b/>
          <w:bCs/>
          <w:sz w:val="40"/>
          <w:szCs w:val="40"/>
          <w:lang w:bidi="ar-BH"/>
        </w:rPr>
        <w:t>and to Fulfill its Commitments under the Arab Charter on Human Rights or Related Obligations</w:t>
      </w:r>
    </w:p>
    <w:p w14:paraId="7EC87800" w14:textId="77777777" w:rsidR="00390BDB" w:rsidRPr="00421D6F" w:rsidRDefault="00390BDB" w:rsidP="0032468F">
      <w:pPr>
        <w:bidi w:val="0"/>
        <w:ind w:right="-142"/>
        <w:jc w:val="center"/>
        <w:rPr>
          <w:rFonts w:ascii="Times New Roman" w:eastAsia="Times New Roman" w:hAnsi="Times New Roman" w:cs="Times New Roman"/>
          <w:b/>
          <w:bCs/>
          <w:sz w:val="24"/>
          <w:szCs w:val="24"/>
          <w:lang w:bidi="ar-BH"/>
        </w:rPr>
      </w:pPr>
    </w:p>
    <w:p w14:paraId="6BB09427"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70309B9E" w14:textId="77777777" w:rsidR="002947A3" w:rsidRPr="00421D6F" w:rsidRDefault="002947A3" w:rsidP="0032468F">
      <w:pPr>
        <w:bidi w:val="0"/>
        <w:ind w:right="-142"/>
        <w:jc w:val="center"/>
        <w:rPr>
          <w:rFonts w:ascii="Times New Roman" w:eastAsia="Times New Roman" w:hAnsi="Times New Roman" w:cs="Times New Roman"/>
          <w:b/>
          <w:bCs/>
          <w:sz w:val="24"/>
          <w:szCs w:val="24"/>
          <w:lang w:bidi="ar-BH"/>
        </w:rPr>
      </w:pPr>
    </w:p>
    <w:p w14:paraId="13CEFB8E" w14:textId="77777777" w:rsidR="002947A3" w:rsidRPr="00421D6F" w:rsidRDefault="002947A3" w:rsidP="0032468F">
      <w:pPr>
        <w:bidi w:val="0"/>
        <w:ind w:right="-142"/>
        <w:jc w:val="center"/>
        <w:rPr>
          <w:rFonts w:ascii="Times New Roman" w:eastAsia="Times New Roman" w:hAnsi="Times New Roman" w:cs="Times New Roman"/>
          <w:b/>
          <w:bCs/>
          <w:sz w:val="24"/>
          <w:szCs w:val="24"/>
          <w:lang w:bidi="ar-BH"/>
        </w:rPr>
      </w:pPr>
    </w:p>
    <w:p w14:paraId="06953382"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24E5A931" w14:textId="77777777" w:rsidR="00541EDC" w:rsidRPr="00421D6F" w:rsidRDefault="00000000" w:rsidP="0032468F">
      <w:pPr>
        <w:bidi w:val="0"/>
        <w:ind w:right="-142"/>
        <w:jc w:val="center"/>
        <w:rPr>
          <w:rFonts w:ascii="Times New Roman" w:eastAsia="Times New Roman" w:hAnsi="Times New Roman" w:cs="Times New Roman"/>
          <w:b/>
          <w:bCs/>
          <w:sz w:val="36"/>
          <w:szCs w:val="36"/>
          <w:lang w:bidi="ar-BH"/>
        </w:rPr>
      </w:pPr>
      <w:r w:rsidRPr="00421D6F">
        <w:rPr>
          <w:rFonts w:ascii="Times New Roman" w:eastAsia="Times New Roman" w:hAnsi="Times New Roman" w:cs="Times New Roman"/>
          <w:b/>
          <w:bCs/>
          <w:sz w:val="36"/>
          <w:szCs w:val="36"/>
          <w:lang w:bidi="ar-BH"/>
        </w:rPr>
        <w:t>Parallel Report Submitted by</w:t>
      </w:r>
    </w:p>
    <w:p w14:paraId="199881AA" w14:textId="77777777" w:rsidR="00541EDC" w:rsidRPr="00421D6F" w:rsidRDefault="00000000" w:rsidP="0032468F">
      <w:pPr>
        <w:bidi w:val="0"/>
        <w:ind w:right="-142"/>
        <w:jc w:val="center"/>
        <w:rPr>
          <w:rFonts w:ascii="Times New Roman" w:eastAsia="Times New Roman" w:hAnsi="Times New Roman" w:cs="Times New Roman"/>
          <w:b/>
          <w:bCs/>
          <w:sz w:val="36"/>
          <w:szCs w:val="36"/>
          <w:lang w:bidi="ar-BH"/>
        </w:rPr>
      </w:pPr>
      <w:r w:rsidRPr="00421D6F">
        <w:rPr>
          <w:rFonts w:ascii="Times New Roman" w:eastAsia="Times New Roman" w:hAnsi="Times New Roman" w:cs="Times New Roman"/>
          <w:b/>
          <w:bCs/>
          <w:sz w:val="36"/>
          <w:szCs w:val="36"/>
          <w:lang w:bidi="ar-BH"/>
        </w:rPr>
        <w:t>the Union Association for Human Rights (UAHR)</w:t>
      </w:r>
    </w:p>
    <w:p w14:paraId="0AB30777" w14:textId="77777777" w:rsidR="00B47FCC" w:rsidRPr="00421D6F" w:rsidRDefault="00000000" w:rsidP="0032468F">
      <w:pPr>
        <w:bidi w:val="0"/>
        <w:ind w:right="-142"/>
        <w:jc w:val="center"/>
        <w:rPr>
          <w:rFonts w:ascii="Times New Roman" w:eastAsia="Times New Roman" w:hAnsi="Times New Roman" w:cs="Times New Roman"/>
          <w:b/>
          <w:bCs/>
          <w:sz w:val="36"/>
          <w:szCs w:val="36"/>
          <w:lang w:bidi="ar-BH"/>
        </w:rPr>
      </w:pPr>
      <w:r w:rsidRPr="00421D6F">
        <w:rPr>
          <w:rFonts w:ascii="Times New Roman" w:eastAsia="Times New Roman" w:hAnsi="Times New Roman" w:cs="Times New Roman"/>
          <w:b/>
          <w:bCs/>
          <w:sz w:val="36"/>
          <w:szCs w:val="36"/>
          <w:lang w:bidi="ar-BH"/>
        </w:rPr>
        <w:t>to the Arab Charter on Human Rights Committee</w:t>
      </w:r>
    </w:p>
    <w:p w14:paraId="11321642"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498C9407"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3117B745"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75DEAD07"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7AA0D303" w14:textId="77777777" w:rsidR="00541EDC" w:rsidRPr="00421D6F" w:rsidRDefault="00541EDC" w:rsidP="0032468F">
      <w:pPr>
        <w:bidi w:val="0"/>
        <w:ind w:right="-142"/>
        <w:jc w:val="center"/>
        <w:rPr>
          <w:rFonts w:ascii="Times New Roman" w:eastAsia="Times New Roman" w:hAnsi="Times New Roman" w:cs="Times New Roman"/>
          <w:b/>
          <w:bCs/>
          <w:sz w:val="24"/>
          <w:szCs w:val="24"/>
          <w:lang w:bidi="ar-BH"/>
        </w:rPr>
      </w:pPr>
    </w:p>
    <w:p w14:paraId="06CC0278" w14:textId="77777777" w:rsidR="00541EDC" w:rsidRPr="00421D6F" w:rsidRDefault="00000000" w:rsidP="0032468F">
      <w:pPr>
        <w:bidi w:val="0"/>
        <w:ind w:right="-142"/>
        <w:jc w:val="center"/>
        <w:rPr>
          <w:rFonts w:ascii="Times New Roman" w:eastAsia="Times New Roman" w:hAnsi="Times New Roman" w:cs="Times New Roman"/>
          <w:b/>
          <w:bCs/>
          <w:sz w:val="32"/>
          <w:szCs w:val="32"/>
          <w:lang w:bidi="ar-BH"/>
        </w:rPr>
      </w:pPr>
      <w:r w:rsidRPr="00421D6F">
        <w:rPr>
          <w:rFonts w:ascii="Times New Roman" w:eastAsia="Times New Roman" w:hAnsi="Times New Roman" w:cs="Times New Roman"/>
          <w:b/>
          <w:bCs/>
          <w:sz w:val="32"/>
          <w:szCs w:val="32"/>
          <w:lang w:bidi="ar-BH"/>
        </w:rPr>
        <w:t>November 2024</w:t>
      </w:r>
    </w:p>
    <w:p w14:paraId="5B876A1E" w14:textId="77777777" w:rsidR="00541EDC" w:rsidRPr="00421D6F" w:rsidRDefault="00541EDC" w:rsidP="0032468F">
      <w:pPr>
        <w:bidi w:val="0"/>
        <w:ind w:right="-142"/>
        <w:rPr>
          <w:rFonts w:ascii="Times New Roman" w:eastAsia="Times New Roman" w:hAnsi="Times New Roman" w:cs="Times New Roman"/>
          <w:b/>
          <w:bCs/>
          <w:sz w:val="24"/>
          <w:szCs w:val="24"/>
          <w:u w:val="single"/>
          <w:lang w:bidi="ar-BH"/>
        </w:rPr>
      </w:pPr>
    </w:p>
    <w:p w14:paraId="74FEE766" w14:textId="77777777" w:rsidR="000B7724" w:rsidRPr="00421D6F" w:rsidRDefault="00000000" w:rsidP="0032468F">
      <w:pPr>
        <w:bidi w:val="0"/>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br w:type="page"/>
      </w:r>
    </w:p>
    <w:p w14:paraId="72002079" w14:textId="77777777" w:rsidR="00D97246" w:rsidRPr="00421D6F" w:rsidRDefault="00D97246" w:rsidP="0032468F">
      <w:pPr>
        <w:bidi w:val="0"/>
        <w:jc w:val="center"/>
        <w:rPr>
          <w:rFonts w:ascii="Times New Roman" w:eastAsia="Times New Roman" w:hAnsi="Times New Roman" w:cs="Times New Roman"/>
          <w:b/>
          <w:bCs/>
          <w:sz w:val="24"/>
          <w:szCs w:val="24"/>
          <w:u w:val="single"/>
          <w:lang w:bidi="ar-BH"/>
        </w:rPr>
      </w:pPr>
      <w:bookmarkStart w:id="0" w:name="_Hlk181141891"/>
    </w:p>
    <w:p w14:paraId="09EABBDE" w14:textId="77777777" w:rsidR="00D97246" w:rsidRPr="00421D6F" w:rsidRDefault="00D97246" w:rsidP="0032468F">
      <w:pPr>
        <w:bidi w:val="0"/>
        <w:jc w:val="center"/>
        <w:rPr>
          <w:rFonts w:ascii="Times New Roman" w:eastAsia="Times New Roman" w:hAnsi="Times New Roman" w:cs="Times New Roman"/>
          <w:b/>
          <w:bCs/>
          <w:sz w:val="24"/>
          <w:szCs w:val="24"/>
          <w:u w:val="single"/>
          <w:lang w:bidi="ar-BH"/>
        </w:rPr>
      </w:pPr>
    </w:p>
    <w:p w14:paraId="0D35FB82" w14:textId="77777777" w:rsidR="00D97246" w:rsidRPr="00421D6F" w:rsidRDefault="00D97246" w:rsidP="0032468F">
      <w:pPr>
        <w:bidi w:val="0"/>
        <w:jc w:val="center"/>
        <w:rPr>
          <w:rFonts w:ascii="Times New Roman" w:eastAsia="Times New Roman" w:hAnsi="Times New Roman" w:cs="Times New Roman"/>
          <w:b/>
          <w:bCs/>
          <w:sz w:val="24"/>
          <w:szCs w:val="24"/>
          <w:u w:val="single"/>
          <w:lang w:bidi="ar-BH"/>
        </w:rPr>
      </w:pPr>
    </w:p>
    <w:p w14:paraId="6AFE651E" w14:textId="77777777" w:rsidR="00277AE8" w:rsidRPr="00421D6F" w:rsidRDefault="00000000" w:rsidP="0032468F">
      <w:pPr>
        <w:bidi w:val="0"/>
        <w:jc w:val="center"/>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Contents</w:t>
      </w:r>
    </w:p>
    <w:p w14:paraId="3C7A2742" w14:textId="77777777" w:rsidR="00D97246" w:rsidRPr="00421D6F" w:rsidRDefault="00D97246" w:rsidP="0032468F">
      <w:pPr>
        <w:bidi w:val="0"/>
        <w:jc w:val="center"/>
        <w:rPr>
          <w:rFonts w:ascii="Times New Roman" w:eastAsia="Times New Roman" w:hAnsi="Times New Roman" w:cs="Times New Roman"/>
          <w:b/>
          <w:bCs/>
          <w:sz w:val="24"/>
          <w:szCs w:val="24"/>
          <w:u w:val="single"/>
          <w:lang w:bidi="ar-BH"/>
        </w:rPr>
      </w:pPr>
    </w:p>
    <w:tbl>
      <w:tblPr>
        <w:tblStyle w:val="TableGrid"/>
        <w:tblW w:w="10416" w:type="dxa"/>
        <w:tblInd w:w="-660" w:type="dxa"/>
        <w:tblLook w:val="04A0" w:firstRow="1" w:lastRow="0" w:firstColumn="1" w:lastColumn="0" w:noHBand="0" w:noVBand="1"/>
      </w:tblPr>
      <w:tblGrid>
        <w:gridCol w:w="878"/>
        <w:gridCol w:w="8100"/>
        <w:gridCol w:w="1438"/>
      </w:tblGrid>
      <w:tr w:rsidR="002A4559" w:rsidRPr="00421D6F" w14:paraId="1ED91497" w14:textId="77777777" w:rsidTr="0032468F">
        <w:tc>
          <w:tcPr>
            <w:tcW w:w="878" w:type="dxa"/>
            <w:shd w:val="clear" w:color="auto" w:fill="9CC2E5" w:themeFill="accent1" w:themeFillTint="99"/>
          </w:tcPr>
          <w:p w14:paraId="3540F674" w14:textId="77777777" w:rsidR="00277AE8" w:rsidRPr="00421D6F" w:rsidRDefault="00000000" w:rsidP="0032468F">
            <w:pPr>
              <w:bidi w:val="0"/>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No.</w:t>
            </w:r>
          </w:p>
        </w:tc>
        <w:tc>
          <w:tcPr>
            <w:tcW w:w="8100" w:type="dxa"/>
            <w:shd w:val="clear" w:color="auto" w:fill="9CC2E5" w:themeFill="accent1" w:themeFillTint="99"/>
          </w:tcPr>
          <w:p w14:paraId="183B9410" w14:textId="77777777" w:rsidR="00277AE8" w:rsidRPr="00421D6F" w:rsidRDefault="00000000" w:rsidP="0032468F">
            <w:pPr>
              <w:bidi w:val="0"/>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Title</w:t>
            </w:r>
          </w:p>
        </w:tc>
        <w:tc>
          <w:tcPr>
            <w:tcW w:w="1438" w:type="dxa"/>
            <w:shd w:val="clear" w:color="auto" w:fill="9CC2E5" w:themeFill="accent1" w:themeFillTint="99"/>
          </w:tcPr>
          <w:p w14:paraId="40ABEE13" w14:textId="77777777" w:rsidR="00277AE8" w:rsidRPr="00421D6F" w:rsidRDefault="00000000" w:rsidP="0032468F">
            <w:pPr>
              <w:bidi w:val="0"/>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Page</w:t>
            </w:r>
          </w:p>
        </w:tc>
      </w:tr>
      <w:tr w:rsidR="002A4559" w:rsidRPr="00421D6F" w14:paraId="7EC0B58D" w14:textId="77777777" w:rsidTr="0032468F">
        <w:tc>
          <w:tcPr>
            <w:tcW w:w="878" w:type="dxa"/>
          </w:tcPr>
          <w:p w14:paraId="08F7957D"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1D2E8B78"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Introduction to the Submitting Entity</w:t>
            </w:r>
          </w:p>
        </w:tc>
        <w:tc>
          <w:tcPr>
            <w:tcW w:w="1438" w:type="dxa"/>
          </w:tcPr>
          <w:p w14:paraId="1DA930C5"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3</w:t>
            </w:r>
          </w:p>
        </w:tc>
      </w:tr>
      <w:tr w:rsidR="002A4559" w:rsidRPr="00421D6F" w14:paraId="0FB4A632" w14:textId="77777777" w:rsidTr="0032468F">
        <w:tc>
          <w:tcPr>
            <w:tcW w:w="878" w:type="dxa"/>
          </w:tcPr>
          <w:p w14:paraId="4201E712"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5E0A7953"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Purposes, Objectives, and Means</w:t>
            </w:r>
          </w:p>
        </w:tc>
        <w:tc>
          <w:tcPr>
            <w:tcW w:w="1438" w:type="dxa"/>
          </w:tcPr>
          <w:p w14:paraId="52DD528C"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3</w:t>
            </w:r>
          </w:p>
        </w:tc>
      </w:tr>
      <w:tr w:rsidR="002A4559" w:rsidRPr="00421D6F" w14:paraId="2D5804BC" w14:textId="77777777" w:rsidTr="0032468F">
        <w:tc>
          <w:tcPr>
            <w:tcW w:w="878" w:type="dxa"/>
          </w:tcPr>
          <w:p w14:paraId="20587DC5"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7DDDAB7B"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UAHR’s Address, Legal Representation, and Contact Information</w:t>
            </w:r>
          </w:p>
        </w:tc>
        <w:tc>
          <w:tcPr>
            <w:tcW w:w="1438" w:type="dxa"/>
          </w:tcPr>
          <w:p w14:paraId="3C088160"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4</w:t>
            </w:r>
          </w:p>
        </w:tc>
      </w:tr>
      <w:tr w:rsidR="002A4559" w:rsidRPr="00421D6F" w14:paraId="120E5EC9" w14:textId="77777777" w:rsidTr="0032468F">
        <w:tc>
          <w:tcPr>
            <w:tcW w:w="878" w:type="dxa"/>
          </w:tcPr>
          <w:p w14:paraId="24BA775E"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2082072D"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Report Methodology</w:t>
            </w:r>
          </w:p>
        </w:tc>
        <w:tc>
          <w:tcPr>
            <w:tcW w:w="1438" w:type="dxa"/>
          </w:tcPr>
          <w:p w14:paraId="3759FB67"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4</w:t>
            </w:r>
          </w:p>
        </w:tc>
      </w:tr>
      <w:tr w:rsidR="002A4559" w:rsidRPr="00421D6F" w14:paraId="3C29011F" w14:textId="77777777" w:rsidTr="0032468F">
        <w:tc>
          <w:tcPr>
            <w:tcW w:w="878" w:type="dxa"/>
          </w:tcPr>
          <w:p w14:paraId="4C56F99E"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3FB30FDE"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Report Authority</w:t>
            </w:r>
          </w:p>
        </w:tc>
        <w:tc>
          <w:tcPr>
            <w:tcW w:w="1438" w:type="dxa"/>
          </w:tcPr>
          <w:p w14:paraId="53749FF3"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5</w:t>
            </w:r>
          </w:p>
        </w:tc>
      </w:tr>
      <w:tr w:rsidR="002A4559" w:rsidRPr="00421D6F" w14:paraId="702CE2AB" w14:textId="77777777" w:rsidTr="0032468F">
        <w:tc>
          <w:tcPr>
            <w:tcW w:w="878" w:type="dxa"/>
          </w:tcPr>
          <w:p w14:paraId="0C1CE5EB"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4BAD322D"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National Partnership in the National Report</w:t>
            </w:r>
          </w:p>
        </w:tc>
        <w:tc>
          <w:tcPr>
            <w:tcW w:w="1438" w:type="dxa"/>
          </w:tcPr>
          <w:p w14:paraId="4E6ABEF7"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5</w:t>
            </w:r>
          </w:p>
        </w:tc>
      </w:tr>
      <w:tr w:rsidR="002A4559" w:rsidRPr="00421D6F" w14:paraId="3CCC923F" w14:textId="77777777" w:rsidTr="0032468F">
        <w:tc>
          <w:tcPr>
            <w:tcW w:w="878" w:type="dxa"/>
          </w:tcPr>
          <w:p w14:paraId="0500AB44"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05B70DF9"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Independence of the Report</w:t>
            </w:r>
          </w:p>
        </w:tc>
        <w:tc>
          <w:tcPr>
            <w:tcW w:w="1438" w:type="dxa"/>
          </w:tcPr>
          <w:p w14:paraId="5A9FBAC2"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5</w:t>
            </w:r>
          </w:p>
        </w:tc>
      </w:tr>
      <w:tr w:rsidR="002A4559" w:rsidRPr="00421D6F" w14:paraId="77D9CE20" w14:textId="77777777" w:rsidTr="0032468F">
        <w:tc>
          <w:tcPr>
            <w:tcW w:w="878" w:type="dxa"/>
          </w:tcPr>
          <w:p w14:paraId="0F1358B3"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743E8E63"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Introduction</w:t>
            </w:r>
          </w:p>
        </w:tc>
        <w:tc>
          <w:tcPr>
            <w:tcW w:w="1438" w:type="dxa"/>
          </w:tcPr>
          <w:p w14:paraId="1EE9511F"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5</w:t>
            </w:r>
          </w:p>
        </w:tc>
      </w:tr>
      <w:tr w:rsidR="002A4559" w:rsidRPr="00421D6F" w14:paraId="28BBB5FB" w14:textId="77777777" w:rsidTr="0032468F">
        <w:tc>
          <w:tcPr>
            <w:tcW w:w="878" w:type="dxa"/>
          </w:tcPr>
          <w:p w14:paraId="79C5A6D8"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2E9EAB2D"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General Legal Framework of the UAE Concerning Human Rights</w:t>
            </w:r>
          </w:p>
        </w:tc>
        <w:tc>
          <w:tcPr>
            <w:tcW w:w="1438" w:type="dxa"/>
          </w:tcPr>
          <w:p w14:paraId="181996D2"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5</w:t>
            </w:r>
          </w:p>
        </w:tc>
      </w:tr>
      <w:tr w:rsidR="002A4559" w:rsidRPr="00421D6F" w14:paraId="15C0E4DD" w14:textId="77777777" w:rsidTr="0032468F">
        <w:tc>
          <w:tcPr>
            <w:tcW w:w="878" w:type="dxa"/>
          </w:tcPr>
          <w:p w14:paraId="444120CB"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1193F7F2"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Attention to International Human Rights Law and International Humanitarian Law</w:t>
            </w:r>
          </w:p>
        </w:tc>
        <w:tc>
          <w:tcPr>
            <w:tcW w:w="1438" w:type="dxa"/>
          </w:tcPr>
          <w:p w14:paraId="749BBD7A"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6</w:t>
            </w:r>
          </w:p>
        </w:tc>
      </w:tr>
      <w:tr w:rsidR="002A4559" w:rsidRPr="00421D6F" w14:paraId="2E30DA25" w14:textId="77777777" w:rsidTr="0032468F">
        <w:tc>
          <w:tcPr>
            <w:tcW w:w="878" w:type="dxa"/>
          </w:tcPr>
          <w:p w14:paraId="2418A95C"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6125F54D"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Attention to Regional Human Rights Instruments</w:t>
            </w:r>
          </w:p>
        </w:tc>
        <w:tc>
          <w:tcPr>
            <w:tcW w:w="1438" w:type="dxa"/>
          </w:tcPr>
          <w:p w14:paraId="084084BC"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7</w:t>
            </w:r>
          </w:p>
        </w:tc>
      </w:tr>
      <w:tr w:rsidR="002A4559" w:rsidRPr="00421D6F" w14:paraId="1A8D5FB7" w14:textId="77777777" w:rsidTr="0032468F">
        <w:tc>
          <w:tcPr>
            <w:tcW w:w="878" w:type="dxa"/>
          </w:tcPr>
          <w:p w14:paraId="232D799C"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229F2A0B"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National Bodies and Mechanisms Concerned with the Protection and Promotion of Human Rights</w:t>
            </w:r>
          </w:p>
        </w:tc>
        <w:tc>
          <w:tcPr>
            <w:tcW w:w="1438" w:type="dxa"/>
          </w:tcPr>
          <w:p w14:paraId="4F1CAFB4"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8</w:t>
            </w:r>
          </w:p>
        </w:tc>
      </w:tr>
      <w:tr w:rsidR="002A4559" w:rsidRPr="00421D6F" w14:paraId="5E1D50C3" w14:textId="77777777" w:rsidTr="0032468F">
        <w:tc>
          <w:tcPr>
            <w:tcW w:w="878" w:type="dxa"/>
          </w:tcPr>
          <w:p w14:paraId="3C9DA25B"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066A63B7"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Attention to Regional Human Rights Instruments</w:t>
            </w:r>
          </w:p>
        </w:tc>
        <w:tc>
          <w:tcPr>
            <w:tcW w:w="1438" w:type="dxa"/>
          </w:tcPr>
          <w:p w14:paraId="3A80111D"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7</w:t>
            </w:r>
          </w:p>
        </w:tc>
      </w:tr>
      <w:tr w:rsidR="002A4559" w:rsidRPr="00421D6F" w14:paraId="572ABF31" w14:textId="77777777" w:rsidTr="0032468F">
        <w:tc>
          <w:tcPr>
            <w:tcW w:w="878" w:type="dxa"/>
          </w:tcPr>
          <w:p w14:paraId="25B030C4"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734BA691"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National Bodies and Mechanisms Concerned with the Protection and Promotion of Human Rights</w:t>
            </w:r>
          </w:p>
        </w:tc>
        <w:tc>
          <w:tcPr>
            <w:tcW w:w="1438" w:type="dxa"/>
          </w:tcPr>
          <w:p w14:paraId="384200F0"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7</w:t>
            </w:r>
          </w:p>
        </w:tc>
      </w:tr>
      <w:tr w:rsidR="002A4559" w:rsidRPr="00421D6F" w14:paraId="273A8CBE" w14:textId="77777777" w:rsidTr="0032468F">
        <w:tc>
          <w:tcPr>
            <w:tcW w:w="878" w:type="dxa"/>
          </w:tcPr>
          <w:p w14:paraId="1DF5A9FF"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74876464"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Attention to the National Framework on Human Rights during the Past Four Years</w:t>
            </w:r>
          </w:p>
        </w:tc>
        <w:tc>
          <w:tcPr>
            <w:tcW w:w="1438" w:type="dxa"/>
          </w:tcPr>
          <w:p w14:paraId="0923387B"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9</w:t>
            </w:r>
          </w:p>
        </w:tc>
      </w:tr>
      <w:tr w:rsidR="002A4559" w:rsidRPr="00421D6F" w14:paraId="4BA92CAE" w14:textId="77777777" w:rsidTr="0032468F">
        <w:tc>
          <w:tcPr>
            <w:tcW w:w="878" w:type="dxa"/>
          </w:tcPr>
          <w:p w14:paraId="0C36287F"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14BC50F4"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National Strategies and Plans</w:t>
            </w:r>
          </w:p>
        </w:tc>
        <w:tc>
          <w:tcPr>
            <w:tcW w:w="1438" w:type="dxa"/>
          </w:tcPr>
          <w:p w14:paraId="177A58B1"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11</w:t>
            </w:r>
          </w:p>
        </w:tc>
      </w:tr>
      <w:tr w:rsidR="002A4559" w:rsidRPr="00421D6F" w14:paraId="7A23CE11" w14:textId="77777777" w:rsidTr="0032468F">
        <w:tc>
          <w:tcPr>
            <w:tcW w:w="878" w:type="dxa"/>
          </w:tcPr>
          <w:p w14:paraId="3423F9C3"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63316C8E"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Monitoring of Main Events and Achievements</w:t>
            </w:r>
          </w:p>
        </w:tc>
        <w:tc>
          <w:tcPr>
            <w:tcW w:w="1438" w:type="dxa"/>
          </w:tcPr>
          <w:p w14:paraId="7A1E5EB2"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12</w:t>
            </w:r>
          </w:p>
        </w:tc>
      </w:tr>
      <w:tr w:rsidR="002A4559" w:rsidRPr="00421D6F" w14:paraId="2587AA6B" w14:textId="77777777" w:rsidTr="0032468F">
        <w:tc>
          <w:tcPr>
            <w:tcW w:w="878" w:type="dxa"/>
          </w:tcPr>
          <w:p w14:paraId="4AA568AC"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46AD6A1F"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in International Indicators 2024</w:t>
            </w:r>
          </w:p>
        </w:tc>
        <w:tc>
          <w:tcPr>
            <w:tcW w:w="1438" w:type="dxa"/>
          </w:tcPr>
          <w:p w14:paraId="05CD06B9"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13</w:t>
            </w:r>
          </w:p>
        </w:tc>
      </w:tr>
      <w:tr w:rsidR="002A4559" w:rsidRPr="00421D6F" w14:paraId="5896AC0F" w14:textId="77777777" w:rsidTr="0032468F">
        <w:tc>
          <w:tcPr>
            <w:tcW w:w="878" w:type="dxa"/>
          </w:tcPr>
          <w:p w14:paraId="60A1A216"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33D41051"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National Response to COVID-19 </w:t>
            </w:r>
          </w:p>
        </w:tc>
        <w:tc>
          <w:tcPr>
            <w:tcW w:w="1438" w:type="dxa"/>
          </w:tcPr>
          <w:p w14:paraId="6982C399"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14</w:t>
            </w:r>
          </w:p>
        </w:tc>
      </w:tr>
      <w:tr w:rsidR="002A4559" w:rsidRPr="00421D6F" w14:paraId="66E23606" w14:textId="77777777" w:rsidTr="0032468F">
        <w:tc>
          <w:tcPr>
            <w:tcW w:w="878" w:type="dxa"/>
          </w:tcPr>
          <w:p w14:paraId="27538F5F"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4BAFF3C5"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Hosting the Conference of the Parties to the United Nations Framework Convention on Climate Change (COP28)</w:t>
            </w:r>
          </w:p>
        </w:tc>
        <w:tc>
          <w:tcPr>
            <w:tcW w:w="1438" w:type="dxa"/>
          </w:tcPr>
          <w:p w14:paraId="3827B89D"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18</w:t>
            </w:r>
          </w:p>
        </w:tc>
      </w:tr>
      <w:tr w:rsidR="002A4559" w:rsidRPr="00421D6F" w14:paraId="3406E58D" w14:textId="77777777" w:rsidTr="0032468F">
        <w:tc>
          <w:tcPr>
            <w:tcW w:w="878" w:type="dxa"/>
          </w:tcPr>
          <w:p w14:paraId="0F3F7FF7"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121CDCE8"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Status of the Arab Charter on Human Rights in the United Arab Emirates</w:t>
            </w:r>
          </w:p>
        </w:tc>
        <w:tc>
          <w:tcPr>
            <w:tcW w:w="1438" w:type="dxa"/>
          </w:tcPr>
          <w:p w14:paraId="78537044"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20</w:t>
            </w:r>
          </w:p>
        </w:tc>
      </w:tr>
      <w:tr w:rsidR="002A4559" w:rsidRPr="00421D6F" w14:paraId="4DAFBD2F" w14:textId="77777777" w:rsidTr="0032468F">
        <w:tc>
          <w:tcPr>
            <w:tcW w:w="878" w:type="dxa"/>
          </w:tcPr>
          <w:p w14:paraId="07A12E03"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4D6EF01F"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Highlighting the UAE’s Attention to and Commitment to the Arab Charter on Human Rights</w:t>
            </w:r>
          </w:p>
        </w:tc>
        <w:tc>
          <w:tcPr>
            <w:tcW w:w="1438" w:type="dxa"/>
          </w:tcPr>
          <w:p w14:paraId="33FEB698"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21</w:t>
            </w:r>
          </w:p>
        </w:tc>
      </w:tr>
      <w:tr w:rsidR="002A4559" w:rsidRPr="00421D6F" w14:paraId="6E594AB7" w14:textId="77777777" w:rsidTr="0032468F">
        <w:tc>
          <w:tcPr>
            <w:tcW w:w="878" w:type="dxa"/>
          </w:tcPr>
          <w:p w14:paraId="69F9975A" w14:textId="77777777" w:rsidR="00277AE8" w:rsidRPr="00421D6F" w:rsidRDefault="00277AE8" w:rsidP="0032468F">
            <w:pPr>
              <w:pStyle w:val="ListParagraph"/>
              <w:numPr>
                <w:ilvl w:val="0"/>
                <w:numId w:val="31"/>
              </w:numPr>
              <w:bidi w:val="0"/>
              <w:jc w:val="center"/>
              <w:rPr>
                <w:rFonts w:ascii="Times New Roman" w:eastAsia="Times New Roman" w:hAnsi="Times New Roman" w:cs="Times New Roman"/>
                <w:sz w:val="24"/>
                <w:szCs w:val="24"/>
                <w:lang w:bidi="ar-BH"/>
              </w:rPr>
            </w:pPr>
          </w:p>
        </w:tc>
        <w:tc>
          <w:tcPr>
            <w:tcW w:w="8100" w:type="dxa"/>
          </w:tcPr>
          <w:p w14:paraId="27304B63"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Annex (1) – The UAE’s Attention to and Implementation of the Concluding Observations and Recommendations of the First Periodic National Report</w:t>
            </w:r>
          </w:p>
        </w:tc>
        <w:tc>
          <w:tcPr>
            <w:tcW w:w="1438" w:type="dxa"/>
          </w:tcPr>
          <w:p w14:paraId="02C8D9D4" w14:textId="77777777" w:rsidR="00277AE8"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36</w:t>
            </w:r>
          </w:p>
        </w:tc>
      </w:tr>
    </w:tbl>
    <w:p w14:paraId="7294513B" w14:textId="77777777" w:rsidR="00DD5BAB" w:rsidRPr="00421D6F" w:rsidRDefault="00DD5BAB" w:rsidP="0032468F">
      <w:pPr>
        <w:bidi w:val="0"/>
        <w:rPr>
          <w:rFonts w:ascii="Times New Roman" w:eastAsia="Times New Roman" w:hAnsi="Times New Roman" w:cs="Times New Roman"/>
          <w:b/>
          <w:bCs/>
          <w:sz w:val="24"/>
          <w:szCs w:val="24"/>
          <w:lang w:bidi="ar-BH"/>
        </w:rPr>
      </w:pPr>
    </w:p>
    <w:p w14:paraId="3EFD33DA" w14:textId="77777777" w:rsidR="00DD5BAB" w:rsidRPr="00421D6F" w:rsidRDefault="00000000" w:rsidP="0032468F">
      <w:pPr>
        <w:bidi w:val="0"/>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br w:type="page"/>
      </w:r>
    </w:p>
    <w:bookmarkEnd w:id="0"/>
    <w:p w14:paraId="12BB0FEF" w14:textId="77777777" w:rsidR="00390BDB" w:rsidRPr="00421D6F" w:rsidRDefault="00000000" w:rsidP="0032468F">
      <w:pPr>
        <w:bidi w:val="0"/>
        <w:ind w:left="-46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lastRenderedPageBreak/>
        <w:t>1. Introduction to the Submitting Entity:</w:t>
      </w:r>
    </w:p>
    <w:p w14:paraId="2D5F0038" w14:textId="77777777" w:rsidR="00EA3C28" w:rsidRPr="00421D6F" w:rsidRDefault="00000000" w:rsidP="0032468F">
      <w:pPr>
        <w:bidi w:val="0"/>
        <w:ind w:left="-46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The Union Association for Human Rights (UAHR) is an association licensed under the relevant laws of the United Arab Emirates. It was officially declared by the Ministry of Community Development on 10 January 2024, and subsequently licensed by the Department of Community Development in Abu Dhabi on 15 January 2024 as a public-benefit association based in the Emirate of Abu Dhabi. The Association is dedicated to promoting respect for human rights and is committed to achieving fifteen main objectives in accordance with its Articles of Association, which were approved on 19 January 2024. </w:t>
      </w:r>
    </w:p>
    <w:p w14:paraId="30982742" w14:textId="77777777" w:rsidR="0058608C" w:rsidRPr="00421D6F" w:rsidRDefault="00000000" w:rsidP="0032468F">
      <w:pPr>
        <w:bidi w:val="0"/>
        <w:ind w:left="-46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UAHR held its first General Assembly meeting on 8 February 2024, during which the members of the Board of Directors were elected for the first term. On the same day, the Board of Directors convened its inaugural meeting, during which the positions were filled. Dr. Fatima Khalifa Al-Kaabi was elected as Chairperson of the UAHR; Ms. Mariam Al-Ahmadi as Vice Chairperson; Mr. Salam Abou Karnib as Treasurer; Mr. Omran AI-Khoori as Secretary; and Ms. Israa Al-Ameri as a Board Member.</w:t>
      </w:r>
    </w:p>
    <w:p w14:paraId="5826CA52" w14:textId="77777777" w:rsidR="0077322C" w:rsidRPr="00421D6F" w:rsidRDefault="0077322C" w:rsidP="0032468F">
      <w:pPr>
        <w:bidi w:val="0"/>
        <w:ind w:left="-460" w:right="-142"/>
        <w:rPr>
          <w:rFonts w:ascii="Times New Roman" w:eastAsia="Times New Roman" w:hAnsi="Times New Roman" w:cs="Times New Roman"/>
          <w:sz w:val="8"/>
          <w:szCs w:val="8"/>
          <w:lang w:bidi="ar-BH"/>
        </w:rPr>
      </w:pPr>
    </w:p>
    <w:p w14:paraId="632C803B" w14:textId="77777777" w:rsidR="002947A3" w:rsidRPr="00421D6F" w:rsidRDefault="00000000" w:rsidP="0032468F">
      <w:pPr>
        <w:bidi w:val="0"/>
        <w:ind w:left="-46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2. Purposes, Objectives, and Means</w:t>
      </w:r>
    </w:p>
    <w:p w14:paraId="3D404C79" w14:textId="77777777" w:rsidR="000E511B" w:rsidRPr="00421D6F" w:rsidRDefault="00000000" w:rsidP="0032468F">
      <w:pPr>
        <w:bidi w:val="0"/>
        <w:ind w:left="-280" w:right="-142"/>
        <w:rPr>
          <w:rFonts w:ascii="Times New Roman" w:eastAsia="Times New Roman" w:hAnsi="Times New Roman" w:cs="Times New Roman"/>
          <w:sz w:val="24"/>
          <w:szCs w:val="24"/>
          <w:u w:val="single"/>
          <w:lang w:bidi="ar-BH"/>
        </w:rPr>
      </w:pPr>
      <w:r w:rsidRPr="00421D6F">
        <w:rPr>
          <w:rFonts w:ascii="Times New Roman" w:eastAsia="Times New Roman" w:hAnsi="Times New Roman" w:cs="Times New Roman"/>
          <w:sz w:val="24"/>
          <w:szCs w:val="24"/>
          <w:lang w:bidi="ar-BH"/>
        </w:rPr>
        <w:t xml:space="preserve">The UAHR, the submitting entity of this report, seeks to achieve its purposes and objectives. It also works to implement them through a range of means and mechanisms that enable it to activate its role at the national, regional, and international levels. </w:t>
      </w:r>
      <w:r w:rsidRPr="00421D6F">
        <w:rPr>
          <w:rFonts w:ascii="Times New Roman" w:eastAsia="Times New Roman" w:hAnsi="Times New Roman" w:cs="Times New Roman"/>
          <w:b/>
          <w:bCs/>
          <w:sz w:val="24"/>
          <w:szCs w:val="24"/>
          <w:u w:val="single"/>
          <w:lang w:bidi="ar-BH"/>
        </w:rPr>
        <w:t>Within this framework, the main purposes and objectives of the UAHR can be summarized as follows:</w:t>
      </w:r>
    </w:p>
    <w:p w14:paraId="66C28D27" w14:textId="77777777" w:rsidR="000E511B"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Supporting the fundamental values and principles of human rights enshrined in the international charter and international conventions;</w:t>
      </w:r>
    </w:p>
    <w:p w14:paraId="50AE1125"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Participating in the development of national programs, initiatives, and strategies related to human rights;</w:t>
      </w:r>
    </w:p>
    <w:p w14:paraId="40D49B92"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Striving to ensure alignment between national legislation and international legislation in the field of human rights;</w:t>
      </w:r>
    </w:p>
    <w:p w14:paraId="376115CB"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Providing opinions and advice on national reports submitted by the UAE to international human rights bodies and mechanisms;</w:t>
      </w:r>
    </w:p>
    <w:p w14:paraId="228DD9D9" w14:textId="77777777" w:rsidR="00DE323A"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Promoting respect for civil, political, economic, social, cultural, and environmental human rights;</w:t>
      </w:r>
    </w:p>
    <w:p w14:paraId="36EB3026"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Contributing to the understanding of regional and international mechanisms, and cooperating with United Nations bodies to promote human rights;</w:t>
      </w:r>
    </w:p>
    <w:p w14:paraId="77A3053B"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Participating in regional and international human rights forums;</w:t>
      </w:r>
    </w:p>
    <w:p w14:paraId="440CAA0F" w14:textId="77777777" w:rsidR="00200B4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Working to strengthen the capacities of national cadres in the field of human rights;</w:t>
      </w:r>
    </w:p>
    <w:p w14:paraId="34E4E495" w14:textId="77777777" w:rsidR="00DE323A"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Contributing to the dissemination of a human rights culture and the consolidation of its values and concepts in society;</w:t>
      </w:r>
    </w:p>
    <w:p w14:paraId="4C21E785"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Organizing programs, symposia, workshops, conferences, and events at the local, regional, and international levels related to human rights;</w:t>
      </w:r>
    </w:p>
    <w:p w14:paraId="4BBBA66B"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Preparing and publishing studies and research, and issuing publications on human rights;</w:t>
      </w:r>
    </w:p>
    <w:p w14:paraId="78EC2D2F"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Preparing statements and reports concerning regional and international human rights mechanisms;</w:t>
      </w:r>
    </w:p>
    <w:p w14:paraId="178E6DDF"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Foreseeing the future in the field of human rights;</w:t>
      </w:r>
    </w:p>
    <w:p w14:paraId="4E19B8FC" w14:textId="77777777" w:rsidR="00824F69"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Receiving complaints and following them up with the competent authorities; and</w:t>
      </w:r>
    </w:p>
    <w:p w14:paraId="4BDA857F" w14:textId="77777777" w:rsidR="00DA3695" w:rsidRPr="00421D6F" w:rsidRDefault="00000000" w:rsidP="0032468F">
      <w:pPr>
        <w:pStyle w:val="ListParagraph"/>
        <w:numPr>
          <w:ilvl w:val="0"/>
          <w:numId w:val="1"/>
        </w:numPr>
        <w:bidi w:val="0"/>
        <w:ind w:left="35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Coordinating with the relevant authorities to carry out field visits to all entities connected with human rights, such as detention centers, penal and correctional institutions, and social and specialized centers, in a manner that strengthens the role of civil society in developing and harmonizing the procedures and policies applied in the UAE.</w:t>
      </w:r>
    </w:p>
    <w:p w14:paraId="19402CD6" w14:textId="77777777" w:rsidR="00735644"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The UAHR has also adopted its branding and values, and has been keen to activate its role and contributions in a way that enhances its human rights mission and supports the achievement of its </w:t>
      </w:r>
      <w:r w:rsidRPr="00421D6F">
        <w:rPr>
          <w:rFonts w:ascii="Times New Roman" w:eastAsia="Times New Roman" w:hAnsi="Times New Roman" w:cs="Times New Roman"/>
          <w:sz w:val="24"/>
          <w:szCs w:val="24"/>
          <w:lang w:bidi="ar-BH"/>
        </w:rPr>
        <w:lastRenderedPageBreak/>
        <w:t>objectives in advancing the state of human rights at all levels. It launched its Strategic Plan for the period 2024–2028, which comprises eight strategic objectives, twenty strategic projects, and 34 KPIs. The Strategic Plan covers all civil, political, economic, social, and cultural rights, and addresses all segments of society, particularly women, girls, youth, children, persons with disabilities, the elderly, and others.</w:t>
      </w:r>
    </w:p>
    <w:p w14:paraId="4E04BD19" w14:textId="77777777" w:rsidR="00FE2239" w:rsidRPr="00421D6F" w:rsidRDefault="00000000" w:rsidP="0032468F">
      <w:pPr>
        <w:bidi w:val="0"/>
        <w:ind w:left="-280" w:right="-142"/>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rPr>
        <w:drawing>
          <wp:inline distT="0" distB="0" distL="0" distR="0" wp14:anchorId="57153A2E" wp14:editId="6465CA2E">
            <wp:extent cx="5223510" cy="3702026"/>
            <wp:effectExtent l="19050" t="19050" r="15240" b="13335"/>
            <wp:docPr id="8726177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617766" name=""/>
                    <pic:cNvPicPr/>
                  </pic:nvPicPr>
                  <pic:blipFill>
                    <a:blip r:embed="rId8"/>
                    <a:stretch>
                      <a:fillRect/>
                    </a:stretch>
                  </pic:blipFill>
                  <pic:spPr>
                    <a:xfrm>
                      <a:off x="0" y="0"/>
                      <a:ext cx="5255216" cy="3724497"/>
                    </a:xfrm>
                    <a:prstGeom prst="rect">
                      <a:avLst/>
                    </a:prstGeom>
                    <a:noFill/>
                    <a:ln>
                      <a:solidFill>
                        <a:schemeClr val="accent1"/>
                      </a:solidFill>
                    </a:ln>
                  </pic:spPr>
                </pic:pic>
              </a:graphicData>
            </a:graphic>
          </wp:inline>
        </w:drawing>
      </w:r>
    </w:p>
    <w:p w14:paraId="26D73A21" w14:textId="77777777" w:rsidR="005A320A" w:rsidRPr="00421D6F" w:rsidRDefault="005A320A" w:rsidP="0032468F">
      <w:pPr>
        <w:bidi w:val="0"/>
        <w:ind w:left="-280" w:right="-142"/>
        <w:rPr>
          <w:rFonts w:ascii="Times New Roman" w:eastAsia="Times New Roman" w:hAnsi="Times New Roman" w:cs="Times New Roman"/>
          <w:b/>
          <w:bCs/>
          <w:sz w:val="6"/>
          <w:szCs w:val="6"/>
          <w:u w:val="single"/>
          <w:lang w:bidi="ar-BH"/>
        </w:rPr>
      </w:pPr>
    </w:p>
    <w:p w14:paraId="29DDD9DC" w14:textId="77777777" w:rsidR="00F31CC3" w:rsidRPr="00421D6F" w:rsidRDefault="00000000" w:rsidP="0032468F">
      <w:pPr>
        <w:bidi w:val="0"/>
        <w:ind w:left="-82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3. The UAHR’s Address, Legal Representation, and Contact Information:</w:t>
      </w:r>
    </w:p>
    <w:p w14:paraId="3EFB868B" w14:textId="77777777" w:rsidR="00F31CC3" w:rsidRPr="00421D6F" w:rsidRDefault="00000000" w:rsidP="0032468F">
      <w:pPr>
        <w:bidi w:val="0"/>
        <w:ind w:left="-82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The UAHR is based in Abu Dhabi, United Arab Emirates. It can be contacted via P.O. Box 3272 or through its email address: </w:t>
      </w:r>
      <w:hyperlink r:id="rId9" w:history="1">
        <w:r w:rsidR="00F31CC3" w:rsidRPr="00421D6F">
          <w:rPr>
            <w:rFonts w:ascii="Times New Roman" w:eastAsia="Times New Roman" w:hAnsi="Times New Roman" w:cs="Times New Roman"/>
            <w:sz w:val="24"/>
            <w:szCs w:val="24"/>
            <w:u w:val="single"/>
          </w:rPr>
          <w:t>info@theuahr.org</w:t>
        </w:r>
      </w:hyperlink>
      <w:r w:rsidRPr="00421D6F">
        <w:rPr>
          <w:rFonts w:ascii="Times New Roman" w:eastAsia="Times New Roman" w:hAnsi="Times New Roman" w:cs="Times New Roman"/>
          <w:sz w:val="24"/>
          <w:szCs w:val="24"/>
        </w:rPr>
        <w:t>.</w:t>
      </w:r>
    </w:p>
    <w:p w14:paraId="5265501F" w14:textId="77777777" w:rsidR="00D55945" w:rsidRPr="00421D6F" w:rsidRDefault="00D55945" w:rsidP="0032468F">
      <w:pPr>
        <w:bidi w:val="0"/>
        <w:ind w:left="-820" w:right="-142"/>
        <w:rPr>
          <w:rFonts w:ascii="Times New Roman" w:eastAsia="Times New Roman" w:hAnsi="Times New Roman" w:cs="Times New Roman"/>
          <w:sz w:val="8"/>
          <w:szCs w:val="8"/>
        </w:rPr>
      </w:pPr>
    </w:p>
    <w:p w14:paraId="13BF95FF" w14:textId="77777777" w:rsidR="009D0146" w:rsidRPr="00421D6F" w:rsidRDefault="00000000" w:rsidP="0032468F">
      <w:pPr>
        <w:bidi w:val="0"/>
        <w:ind w:left="-82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4. Report Methodology:</w:t>
      </w:r>
    </w:p>
    <w:p w14:paraId="37EA1E38" w14:textId="77777777" w:rsidR="00735644" w:rsidRPr="00421D6F" w:rsidRDefault="00000000" w:rsidP="0032468F">
      <w:pPr>
        <w:bidi w:val="0"/>
        <w:ind w:left="-82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This report has been prepared in accordance with the standards, requirements, and guidelines defined on the basis of the following:</w:t>
      </w:r>
    </w:p>
    <w:p w14:paraId="2B96283B" w14:textId="77777777" w:rsidR="007224E6" w:rsidRPr="00421D6F" w:rsidRDefault="00000000" w:rsidP="0032468F">
      <w:pPr>
        <w:pStyle w:val="ListParagraph"/>
        <w:numPr>
          <w:ilvl w:val="0"/>
          <w:numId w:val="2"/>
        </w:numPr>
        <w:bidi w:val="0"/>
        <w:ind w:left="-280" w:right="-142"/>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Arab Charter on Human Rights (ACHR), ratified by the UAE on 15 January 2008 under Federal Decree No. 93 of 2007, without any reservations to its provisions. The UAE had signed the Charter earlier on 18 September 2006.</w:t>
      </w:r>
    </w:p>
    <w:p w14:paraId="3A9229C3" w14:textId="77777777" w:rsidR="00735644" w:rsidRPr="00421D6F" w:rsidRDefault="00000000" w:rsidP="0032468F">
      <w:pPr>
        <w:pStyle w:val="ListParagraph"/>
        <w:numPr>
          <w:ilvl w:val="0"/>
          <w:numId w:val="2"/>
        </w:numPr>
        <w:bidi w:val="0"/>
        <w:ind w:left="-280" w:right="-142"/>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guiding principles for national human rights institutions and relevant civil society organizations, as set forth in the decision of the Arab Human Rights Committee No. 144/25 regarding participation in the submission of parallel reports to the ACHR Committee.</w:t>
      </w:r>
    </w:p>
    <w:p w14:paraId="1458FEE0" w14:textId="77777777" w:rsidR="00735644" w:rsidRPr="00421D6F" w:rsidRDefault="00000000" w:rsidP="0032468F">
      <w:pPr>
        <w:pStyle w:val="ListParagraph"/>
        <w:numPr>
          <w:ilvl w:val="0"/>
          <w:numId w:val="2"/>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Second Periodic National Report of the UAE, submitted by the Permanent Committee for Human Rights to the ACHR Committee pursuant to Article (48) of the Charter, including the responses and interactions related to the outcomes of the review of the First Periodic Report, its recommendations, and related outcomes presented by the Committee.</w:t>
      </w:r>
    </w:p>
    <w:p w14:paraId="35369378" w14:textId="77777777" w:rsidR="00323502" w:rsidRPr="00421D6F" w:rsidRDefault="00000000" w:rsidP="0032468F">
      <w:pPr>
        <w:pStyle w:val="ListParagraph"/>
        <w:numPr>
          <w:ilvl w:val="0"/>
          <w:numId w:val="2"/>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International treaties and conventions ratified or acceded to by the UAE, along with related legislation, laws, decrees, and regulations.</w:t>
      </w:r>
    </w:p>
    <w:p w14:paraId="09C43000" w14:textId="77777777" w:rsidR="00735644" w:rsidRPr="00421D6F" w:rsidRDefault="00000000" w:rsidP="0032468F">
      <w:pPr>
        <w:pStyle w:val="ListParagraph"/>
        <w:numPr>
          <w:ilvl w:val="0"/>
          <w:numId w:val="2"/>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strategies, policies, practices, and initiatives documented and monitored during the reporting period.</w:t>
      </w:r>
    </w:p>
    <w:p w14:paraId="46721577" w14:textId="77777777" w:rsidR="00735644" w:rsidRPr="00421D6F" w:rsidRDefault="00000000" w:rsidP="0032468F">
      <w:pPr>
        <w:pStyle w:val="ListParagraph"/>
        <w:numPr>
          <w:ilvl w:val="0"/>
          <w:numId w:val="2"/>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UAE’s national reports relating to national, regional, and international bodies and mechanisms.</w:t>
      </w:r>
    </w:p>
    <w:p w14:paraId="21AE492E" w14:textId="77777777" w:rsidR="00735644"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5. Report Authority</w:t>
      </w:r>
    </w:p>
    <w:p w14:paraId="363A201C" w14:textId="77777777" w:rsidR="006D033F"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lastRenderedPageBreak/>
        <w:t>The authority and credibility of this report are based on several aspects related to its preparation. In addition to the reliability and credibility of the UAHR (derived from its national, regional, and international work, its commitment to human rights values and principles, and its adherence to the standards governing the preparation of human rights reports based on monitoring and documentation), it has been keen to employ its expertise and knowledge in preparing this report, drawing on its extensive work in monitoring and documenting the status of human rights in the UAE.</w:t>
      </w:r>
    </w:p>
    <w:p w14:paraId="6EEEA710" w14:textId="77777777" w:rsidR="00735644"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presenting this report, or with respect to its content, the UAHR has relied upon what is verified and well-grounded in the human rights situation in the UAE, with consensus regarding the recommendations and observations put forward by the report, which reflect a stable and validated assessment.</w:t>
      </w:r>
    </w:p>
    <w:p w14:paraId="548C094C" w14:textId="77777777" w:rsidR="00054E06"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7. National Partnership in the National Report:</w:t>
      </w:r>
    </w:p>
    <w:p w14:paraId="1B4D8573" w14:textId="77777777" w:rsidR="008D3D6F"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We value the commitment of both the Ministry of Foreign Affairs and the Permanent Committee for Human Rights in the UAE to ensuring the participation of civil society in the preparation of the Second Periodic National Report submitted to the ACHR Committee of the League of Arab States.</w:t>
      </w:r>
    </w:p>
    <w:p w14:paraId="08054248" w14:textId="77777777" w:rsidR="00CD4A5E"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 this context, it should be noted that the Permanent Committee for Human Rights provided the UAHR with a copy of the draft of the Second Periodic National Report on the ACHR. The UAHR reviewed the draft, submitted its observations and recommendations on it, and on 21 August 2024 sent its detailed comments and recommendations to the Permanent Committee for Human Rights. These included all observations related to the report’s preparation process, the draft report, and all comments on the Committee’s response to the recommendations presented to it pursuant to the outcomes of the discussion and review of the UAE’s First Periodic Report.</w:t>
      </w:r>
    </w:p>
    <w:p w14:paraId="4CCC6BCB" w14:textId="77777777" w:rsidR="00A21645" w:rsidRPr="00421D6F" w:rsidRDefault="00A21645" w:rsidP="0032468F">
      <w:pPr>
        <w:bidi w:val="0"/>
        <w:ind w:left="-640" w:right="-142"/>
        <w:rPr>
          <w:rFonts w:ascii="Times New Roman" w:eastAsia="Times New Roman" w:hAnsi="Times New Roman" w:cs="Times New Roman"/>
          <w:sz w:val="16"/>
          <w:szCs w:val="16"/>
          <w:lang w:bidi="ar-BH"/>
        </w:rPr>
      </w:pPr>
    </w:p>
    <w:p w14:paraId="595027F5" w14:textId="77777777" w:rsidR="001C21FA"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8. Independence of the Report:</w:t>
      </w:r>
    </w:p>
    <w:p w14:paraId="7319BA57" w14:textId="77777777" w:rsidR="00567AD6"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UAHR affirms the independence of its parallel report submitted to the ACHR Committee. The report reflects the UAHR’s perspective, which is based on the monitoring, documentation, and follow-up activities conducted by its specialized committees and units. It expresses, with full impartiality and independence, the findings and outcomes of the UAHR’s monitoring of the human rights situation in the UAE, as well as its assessment and tracking of the extent to which the UAE complies with and fulfills the ACHR and the outcomes of the review processes of the national reports submitted by the UAE to the ACHR Committee. The contents of this parallel report represent an independent and distinct effort, and should be viewed as complementary to the national report submitted by the UAE as well as other parallel reports received by the ACHR Committee from civil society and stakeholders.</w:t>
      </w:r>
    </w:p>
    <w:p w14:paraId="3D0EA1BA" w14:textId="77777777" w:rsidR="00A16853" w:rsidRPr="00421D6F" w:rsidRDefault="00000000" w:rsidP="0032468F">
      <w:pPr>
        <w:bidi w:val="0"/>
        <w:ind w:left="-640" w:right="-142"/>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b/>
          <w:bCs/>
          <w:sz w:val="24"/>
          <w:szCs w:val="24"/>
        </w:rPr>
        <w:t xml:space="preserve">In this regard, the UAHR emphasizes that this report is submitted to the ACHR Committee, which may publish it for the purpose for which it was prepared, and use it in the manner it deems appropriate, including sharing it with the competent authorities in the UAE or with other sectors involved in the review of national reports. </w:t>
      </w:r>
      <w:r w:rsidRPr="00421D6F">
        <w:rPr>
          <w:rFonts w:ascii="Times New Roman" w:eastAsia="Times New Roman" w:hAnsi="Times New Roman" w:cs="Times New Roman"/>
          <w:b/>
          <w:bCs/>
          <w:sz w:val="24"/>
          <w:szCs w:val="24"/>
          <w:u w:val="single"/>
        </w:rPr>
        <w:t>This report is not subject to the confidentiality rules applied by the ACHR Committee with respect to parallel reports.</w:t>
      </w:r>
    </w:p>
    <w:p w14:paraId="755F3BCD" w14:textId="77777777" w:rsidR="00D55945" w:rsidRPr="00421D6F" w:rsidRDefault="00D55945" w:rsidP="0032468F">
      <w:pPr>
        <w:bidi w:val="0"/>
        <w:ind w:left="-640" w:right="-142"/>
        <w:rPr>
          <w:rFonts w:ascii="Times New Roman" w:eastAsia="Times New Roman" w:hAnsi="Times New Roman" w:cs="Times New Roman"/>
          <w:sz w:val="16"/>
          <w:szCs w:val="16"/>
        </w:rPr>
      </w:pPr>
    </w:p>
    <w:p w14:paraId="61862281" w14:textId="77777777" w:rsidR="00442DCE"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9. Introduction:</w:t>
      </w:r>
    </w:p>
    <w:p w14:paraId="71E69297" w14:textId="77777777" w:rsidR="0096385F"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Within the framework of strengthening effective partnership between government institutions on the one hand, and civil society institutions in the UAE on the other, and in light of the mechanisms permitted by the ACHR Committee, which seeks to ensure meaningful participation of civil society in the review of national reports submitted under the ACHR, the UAHR has prepared this parallel report.</w:t>
      </w:r>
    </w:p>
    <w:p w14:paraId="3592A1FE" w14:textId="77777777" w:rsidR="00DC1C7A"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 This comes in response to the invitation received by UAHR from the Permanent Committee for Human Rights in the UAE to review the UAE’s Second Periodic National Report and participate in presenting a parallel report that reflects the UAHR’s perspective on the human rights situation in the country. Accordingly, the UAHR has been keen to prepare this report, which covers and reviews a range of issues related to the human rights situation in the UAE, analyzes their impacts on various key sectors in the country, and affirms their direct relevance and connection to the spirit and text of the ACHR, as well as to the primary objectives that the Charter seeks to achieve.</w:t>
      </w:r>
    </w:p>
    <w:p w14:paraId="555D5FEB" w14:textId="77777777" w:rsidR="00282E4E"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lastRenderedPageBreak/>
        <w:t>In this regard, we commend the efforts of the ACHR Committee in monitoring and following up on states’ compliance with the ACHR, and in ensuring that member states fulfill their obligations to review and discuss their national reports.</w:t>
      </w:r>
    </w:p>
    <w:p w14:paraId="7A35A19E" w14:textId="77777777" w:rsidR="00683B42"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UAHR also expresses its deep appreciation for the UAE’s commitment to strengthening its partnership with civil society across all fields, particularly with respect to the preparation and submission of its Second Periodic National Report to the ACHR Committee, as well as for its ongoing efforts to promote respect for human rights. In this context, we especially commend the efforts of the Ministry of Foreign Affairs and the Permanent Committee for Human Rights.</w:t>
      </w:r>
    </w:p>
    <w:p w14:paraId="76863623" w14:textId="77777777" w:rsidR="00442DCE" w:rsidRPr="00421D6F" w:rsidRDefault="00000000" w:rsidP="0032468F">
      <w:pPr>
        <w:bidi w:val="0"/>
        <w:ind w:left="-64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Driven by a commitment to protect and promote human rights, and in recognition of the constructive role of the League of Arab States and its specialized committees, especially the ACHR Committee, in evaluating and enhancing states’ compliance with the ACHR, and reaffirming their determination to take all necessary measures to uphold the Charter’s values and principles in their efforts, practices, and legislation related to the promotion of human rights, we hereby submit this report. We hope it meets the standards and requirements adopted by the Committee, and that it will be taken into account during the review of the UAE’s Second Periodic National Report before the Committee.</w:t>
      </w:r>
    </w:p>
    <w:p w14:paraId="15D7D3C7" w14:textId="77777777" w:rsidR="00C266AC" w:rsidRPr="00421D6F" w:rsidRDefault="00C266AC" w:rsidP="0032468F">
      <w:pPr>
        <w:bidi w:val="0"/>
        <w:ind w:left="-640" w:right="-142"/>
        <w:rPr>
          <w:rFonts w:ascii="Times New Roman" w:eastAsia="Times New Roman" w:hAnsi="Times New Roman" w:cs="Times New Roman"/>
          <w:sz w:val="16"/>
          <w:szCs w:val="16"/>
        </w:rPr>
      </w:pPr>
    </w:p>
    <w:p w14:paraId="13E444E6" w14:textId="77777777" w:rsidR="00CC6382"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10. General Legal Framework of the UAE Concerning Human Rights:</w:t>
      </w:r>
    </w:p>
    <w:p w14:paraId="3733E999" w14:textId="77777777" w:rsidR="00C949CB"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Since its establishment in 1971, the UAE has been committed to affirming its respect for, and adherence to, the principles of justice, equality, and the protection and promotion of human rights. To this end, it has consistently emphasized its national, regional, and international commitments, which are rooted in its heritage and national culture. The UAE has also sought to develop a legislative framework aligned with the ACHR and the Universal Declaration of Human Rights, while striving to build a tolerant and multicultural society.</w:t>
      </w:r>
    </w:p>
    <w:p w14:paraId="5D955557" w14:textId="77777777" w:rsidR="00262CD2"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 The Constitution of the UAE guarantees and safeguards rights and freedoms, ensures equal treatment before the law for all, and prohibits all forms of discrimination. It also criminalizes and prohibits torture, arbitrary arrest and detention, and forbids degrading or inhumane treatment. Moreover, it guarantees freedom of opinion, expression, peaceful assembly, and association. The UAE has a strong record of achievements across various areas linked to human rights, reinforced by pioneering initiatives inspired by universal human values and principles. These initiatives reaffirm the establishment of a state based on institutions and the rule of law, respect for the sovereignty of law, and the guarantee of justice and equality.</w:t>
      </w:r>
    </w:p>
    <w:p w14:paraId="44F7E4BD" w14:textId="77777777" w:rsidR="00C16F38" w:rsidRPr="00421D6F" w:rsidRDefault="00000000" w:rsidP="0032468F">
      <w:pPr>
        <w:pStyle w:val="ListParagraph"/>
        <w:numPr>
          <w:ilvl w:val="0"/>
          <w:numId w:val="3"/>
        </w:numPr>
        <w:bidi w:val="0"/>
        <w:ind w:left="-28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Attention to International Human Rights Law and International Humanitarian Law:</w:t>
      </w:r>
    </w:p>
    <w:p w14:paraId="750F0358" w14:textId="77777777" w:rsidR="009929F0"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has placed great emphasis on strengthening its respect for human rights and, in this regard, has reaffirmed its commitment to a broad range of international human rights instruments and conventions. The UAE has ratified a wide package of international instruments, treaties, and laws related to human rights, and has also underscored its efforts to strengthen partnerships with various international human rights bodies and mechanisms. This is evident from its election to the United Nations Human Rights Council for three terms (2013–2015, 2016–2018, and 2022–2024). The UAE has also successfully submitted its Universal Periodic Reviews (UPRs) during the four review cycles since the establishment of this international mechanism.</w:t>
      </w:r>
    </w:p>
    <w:p w14:paraId="5C003B42" w14:textId="77777777" w:rsidR="005671FF" w:rsidRPr="00421D6F" w:rsidRDefault="005671FF" w:rsidP="0032468F">
      <w:pPr>
        <w:bidi w:val="0"/>
        <w:ind w:left="-640" w:right="-142"/>
        <w:rPr>
          <w:rFonts w:ascii="Times New Roman" w:eastAsia="Times New Roman" w:hAnsi="Times New Roman" w:cs="Times New Roman"/>
          <w:b/>
          <w:bCs/>
          <w:sz w:val="24"/>
          <w:szCs w:val="24"/>
          <w:lang w:bidi="ar-BH"/>
        </w:rPr>
      </w:pPr>
    </w:p>
    <w:p w14:paraId="0FEE2939" w14:textId="77777777" w:rsidR="005671FF" w:rsidRPr="00421D6F" w:rsidRDefault="005671FF" w:rsidP="0032468F">
      <w:pPr>
        <w:bidi w:val="0"/>
        <w:ind w:left="-640" w:right="-142"/>
        <w:rPr>
          <w:rFonts w:ascii="Times New Roman" w:eastAsia="Times New Roman" w:hAnsi="Times New Roman" w:cs="Times New Roman"/>
          <w:b/>
          <w:bCs/>
          <w:sz w:val="24"/>
          <w:szCs w:val="24"/>
          <w:lang w:bidi="ar-BH"/>
        </w:rPr>
      </w:pPr>
    </w:p>
    <w:p w14:paraId="3EB025CE" w14:textId="77777777" w:rsidR="00C16F38"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lang w:bidi="ar-BH"/>
        </w:rPr>
        <w:t xml:space="preserve">The UAE has acceded to the </w:t>
      </w:r>
      <w:r w:rsidRPr="00421D6F">
        <w:rPr>
          <w:rFonts w:ascii="Times New Roman" w:eastAsia="Times New Roman" w:hAnsi="Times New Roman" w:cs="Times New Roman"/>
          <w:b/>
          <w:bCs/>
          <w:sz w:val="24"/>
          <w:szCs w:val="24"/>
          <w:u w:val="single"/>
          <w:lang w:bidi="ar-BH"/>
        </w:rPr>
        <w:t>following international conventions</w:t>
      </w:r>
      <w:r w:rsidRPr="00421D6F">
        <w:rPr>
          <w:rFonts w:ascii="Times New Roman" w:eastAsia="Times New Roman" w:hAnsi="Times New Roman" w:cs="Times New Roman"/>
          <w:b/>
          <w:bCs/>
          <w:sz w:val="24"/>
          <w:szCs w:val="24"/>
          <w:lang w:bidi="ar-BH"/>
        </w:rPr>
        <w:t>:</w:t>
      </w:r>
    </w:p>
    <w:p w14:paraId="06A72F39" w14:textId="77777777" w:rsidR="00B676E7" w:rsidRPr="00421D6F" w:rsidRDefault="00000000" w:rsidP="0032468F">
      <w:pPr>
        <w:pStyle w:val="ListParagraph"/>
        <w:numPr>
          <w:ilvl w:val="0"/>
          <w:numId w:val="4"/>
        </w:numPr>
        <w:bidi w:val="0"/>
        <w:ind w:left="-280" w:right="-142" w:hanging="218"/>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International Convention on the Elimination of All Forms of Racial Discrimination, 1974.</w:t>
      </w:r>
    </w:p>
    <w:p w14:paraId="56CB59F3" w14:textId="77777777" w:rsidR="00B676E7" w:rsidRPr="00421D6F" w:rsidRDefault="00000000" w:rsidP="0032468F">
      <w:pPr>
        <w:pStyle w:val="ListParagraph"/>
        <w:numPr>
          <w:ilvl w:val="0"/>
          <w:numId w:val="4"/>
        </w:numPr>
        <w:bidi w:val="0"/>
        <w:ind w:left="-280" w:right="-142" w:hanging="218"/>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Convention on the Rights of the Child, 1997, and the Optional Protocol to the Convention on the Rights of the Child on the Sale of Children, Child Prostitution and Child Pornography, 2016.</w:t>
      </w:r>
    </w:p>
    <w:p w14:paraId="52469A9D" w14:textId="77777777" w:rsidR="00C8041C" w:rsidRPr="00421D6F" w:rsidRDefault="00000000" w:rsidP="0032468F">
      <w:pPr>
        <w:pStyle w:val="ListParagraph"/>
        <w:numPr>
          <w:ilvl w:val="0"/>
          <w:numId w:val="4"/>
        </w:numPr>
        <w:bidi w:val="0"/>
        <w:ind w:left="-280" w:right="-142" w:hanging="218"/>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on the Elimination of All Forms of Discrimination against Women, 2004.</w:t>
      </w:r>
    </w:p>
    <w:p w14:paraId="79A662FB" w14:textId="77777777" w:rsidR="00B676E7" w:rsidRPr="00421D6F" w:rsidRDefault="00000000" w:rsidP="0032468F">
      <w:pPr>
        <w:pStyle w:val="ListParagraph"/>
        <w:numPr>
          <w:ilvl w:val="0"/>
          <w:numId w:val="4"/>
        </w:numPr>
        <w:bidi w:val="0"/>
        <w:ind w:left="-280" w:right="-142" w:hanging="218"/>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on the Rights of Persons with Disabilities, 2010.</w:t>
      </w:r>
    </w:p>
    <w:p w14:paraId="7F30313D" w14:textId="77777777" w:rsidR="00B676E7" w:rsidRPr="00421D6F" w:rsidRDefault="00000000" w:rsidP="0032468F">
      <w:pPr>
        <w:pStyle w:val="ListParagraph"/>
        <w:numPr>
          <w:ilvl w:val="0"/>
          <w:numId w:val="4"/>
        </w:numPr>
        <w:bidi w:val="0"/>
        <w:ind w:left="-280" w:right="-142" w:hanging="218"/>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lastRenderedPageBreak/>
        <w:t>Convention against Torture and Other Cruel, Inhuman or Degrading Treatment or Punishment, 2012.</w:t>
      </w:r>
    </w:p>
    <w:p w14:paraId="76DDED50" w14:textId="77777777" w:rsidR="00CD3C15" w:rsidRPr="00421D6F" w:rsidRDefault="00000000" w:rsidP="0032468F">
      <w:pPr>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also acceded in 1972 to the four Geneva Conventions of 1949; in 2005 to the Convention on the Prevention and Punishment of the Crime of Genocide of 1948; and in 2007 to the United Nations Convention against Transnational Organized Crime and its Protocol to Prevent, Suppress and Punish Trafficking in Persons, Especially Women and Children.</w:t>
      </w:r>
    </w:p>
    <w:p w14:paraId="3AE61584" w14:textId="77777777" w:rsidR="00BE66E4" w:rsidRPr="00421D6F" w:rsidRDefault="00BE66E4" w:rsidP="0032468F">
      <w:pPr>
        <w:bidi w:val="0"/>
        <w:ind w:left="-280" w:right="-142"/>
        <w:rPr>
          <w:rFonts w:ascii="Times New Roman" w:eastAsia="Times New Roman" w:hAnsi="Times New Roman" w:cs="Times New Roman"/>
          <w:b/>
          <w:bCs/>
          <w:sz w:val="16"/>
          <w:szCs w:val="16"/>
          <w:lang w:bidi="ar-BH"/>
        </w:rPr>
      </w:pPr>
    </w:p>
    <w:p w14:paraId="27D441BF" w14:textId="77777777" w:rsidR="00CD3C15" w:rsidRPr="00421D6F" w:rsidRDefault="00000000" w:rsidP="0032468F">
      <w:pPr>
        <w:bidi w:val="0"/>
        <w:ind w:left="-280" w:right="-142"/>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In addition, the UAE has ratified nine International Labour Organization (ILO) conventions, as follows:</w:t>
      </w:r>
    </w:p>
    <w:p w14:paraId="14EAF93B"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1) of 1919 concerning Hours of Work — ratified on 27 May 1982.</w:t>
      </w:r>
    </w:p>
    <w:p w14:paraId="156812CB"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29) of 1930 concerning Forced Labour — ratified on 27 May 1982.</w:t>
      </w:r>
    </w:p>
    <w:p w14:paraId="54A5BEBA"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81) of 1947 concerning Labour Inspection — ratified on 27 May 1982.</w:t>
      </w:r>
    </w:p>
    <w:p w14:paraId="7592BC42" w14:textId="77777777" w:rsidR="00133801"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89) of 1948 concerning Night Work (Women) — ratified on 27 May 1982.</w:t>
      </w:r>
    </w:p>
    <w:p w14:paraId="194D3640"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100) of 1951 concerning Equal Remuneration — ratified on 24 February 1997.</w:t>
      </w:r>
    </w:p>
    <w:p w14:paraId="4226FBE8"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105) of 1957 concerning the Abolition of Forced Labour — ratified on 24 February 1997.</w:t>
      </w:r>
    </w:p>
    <w:p w14:paraId="6C9AD822" w14:textId="77777777" w:rsidR="00CD3C15" w:rsidRPr="00421D6F" w:rsidRDefault="00000000" w:rsidP="0032468F">
      <w:pPr>
        <w:pStyle w:val="ListParagraph"/>
        <w:numPr>
          <w:ilvl w:val="0"/>
          <w:numId w:val="4"/>
        </w:numPr>
        <w:bidi w:val="0"/>
        <w:ind w:left="170" w:hanging="27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111) of 1958 concerning Discrimination (Employment and Occupation) — ratified on 28 June 2001.</w:t>
      </w:r>
    </w:p>
    <w:p w14:paraId="0B627CED"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138) of 1973 concerning Minimum Age — ratified on 2 October 1998.</w:t>
      </w:r>
    </w:p>
    <w:p w14:paraId="5C5F4B37" w14:textId="77777777" w:rsidR="00CD3C1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Convention (No. 182) of 1999 concerning the Worst Forms of Child Labour — ratified on 28 June 2001.</w:t>
      </w:r>
    </w:p>
    <w:p w14:paraId="4ED562E2" w14:textId="77777777" w:rsidR="00D10AEF" w:rsidRPr="00421D6F" w:rsidRDefault="00D10AEF" w:rsidP="0032468F">
      <w:pPr>
        <w:bidi w:val="0"/>
        <w:ind w:left="170" w:right="-142"/>
        <w:rPr>
          <w:rFonts w:ascii="Times New Roman" w:eastAsia="Times New Roman" w:hAnsi="Times New Roman" w:cs="Times New Roman"/>
          <w:sz w:val="16"/>
          <w:szCs w:val="16"/>
          <w:lang w:bidi="ar-BH"/>
        </w:rPr>
      </w:pPr>
    </w:p>
    <w:p w14:paraId="6B3F5323" w14:textId="77777777" w:rsidR="00525161" w:rsidRPr="00421D6F" w:rsidRDefault="00000000" w:rsidP="0032468F">
      <w:p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b/>
          <w:bCs/>
          <w:sz w:val="24"/>
          <w:szCs w:val="24"/>
          <w:u w:val="single"/>
          <w:lang w:bidi="ar-BH"/>
        </w:rPr>
        <w:t>Attention to Regional Human Rights Instruments, including:</w:t>
      </w:r>
    </w:p>
    <w:p w14:paraId="77655A26" w14:textId="77777777" w:rsidR="00B53FF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lang w:bidi="ar-BH"/>
        </w:rPr>
        <w:t>Cairo Declaration on Human Rights in Islam, 1990.</w:t>
      </w:r>
    </w:p>
    <w:p w14:paraId="06406E80" w14:textId="77777777" w:rsidR="0022295F"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Arab Convention No. (18) of 1996 concerning Juvenile Employment.</w:t>
      </w:r>
    </w:p>
    <w:p w14:paraId="70DBE05D" w14:textId="77777777" w:rsidR="0022295F"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Arab Convention No. (19) of 1998 concerning Labour Inspection.</w:t>
      </w:r>
    </w:p>
    <w:p w14:paraId="3E3B5502" w14:textId="77777777" w:rsidR="00B53FF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Arab Charter on Human Rights (ACHR), 2008.</w:t>
      </w:r>
    </w:p>
    <w:p w14:paraId="05390612" w14:textId="77777777" w:rsidR="0022295F"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Arab Convention against Corruption, 2010.</w:t>
      </w:r>
    </w:p>
    <w:p w14:paraId="77AA99EE" w14:textId="77777777" w:rsidR="00B53FF5"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Gulf Declaration of Human Rights, 2015.</w:t>
      </w:r>
    </w:p>
    <w:p w14:paraId="66E044E8" w14:textId="77777777" w:rsidR="00B21610" w:rsidRPr="00421D6F" w:rsidRDefault="00000000" w:rsidP="0032468F">
      <w:pPr>
        <w:pStyle w:val="ListParagraph"/>
        <w:numPr>
          <w:ilvl w:val="0"/>
          <w:numId w:val="4"/>
        </w:numPr>
        <w:bidi w:val="0"/>
        <w:ind w:left="170" w:right="-142" w:hanging="27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Arab Convention on Regulating the Transfer and Transplantation of Human Organs and Tissues and Preventing and Combating Trafficking therein, and the Arab Protocol on Combating Trafficking in Persons, Especially Women and Children, 2019.</w:t>
      </w:r>
    </w:p>
    <w:p w14:paraId="44C06574" w14:textId="77777777" w:rsidR="00AA4460" w:rsidRPr="00421D6F" w:rsidRDefault="00AA4460" w:rsidP="0032468F">
      <w:pPr>
        <w:bidi w:val="0"/>
        <w:ind w:left="-280" w:right="-142"/>
        <w:rPr>
          <w:rFonts w:ascii="Times New Roman" w:eastAsia="Times New Roman" w:hAnsi="Times New Roman" w:cs="Times New Roman"/>
          <w:sz w:val="16"/>
          <w:szCs w:val="16"/>
          <w:lang w:bidi="ar-BH"/>
        </w:rPr>
      </w:pPr>
    </w:p>
    <w:p w14:paraId="2400DF92" w14:textId="77777777" w:rsidR="005A320A" w:rsidRPr="00421D6F" w:rsidRDefault="005A320A" w:rsidP="0032468F">
      <w:pPr>
        <w:bidi w:val="0"/>
        <w:ind w:left="-280" w:right="-142"/>
        <w:rPr>
          <w:rFonts w:ascii="Times New Roman" w:eastAsia="Times New Roman" w:hAnsi="Times New Roman" w:cs="Times New Roman"/>
          <w:sz w:val="16"/>
          <w:szCs w:val="16"/>
          <w:lang w:bidi="ar-BH"/>
        </w:rPr>
      </w:pPr>
    </w:p>
    <w:p w14:paraId="508DA201" w14:textId="77777777" w:rsidR="005A320A" w:rsidRPr="00421D6F" w:rsidRDefault="005A320A" w:rsidP="0032468F">
      <w:pPr>
        <w:bidi w:val="0"/>
        <w:ind w:left="-280" w:right="-142"/>
        <w:rPr>
          <w:rFonts w:ascii="Times New Roman" w:eastAsia="Times New Roman" w:hAnsi="Times New Roman" w:cs="Times New Roman"/>
          <w:sz w:val="16"/>
          <w:szCs w:val="16"/>
          <w:lang w:bidi="ar-BH"/>
        </w:rPr>
      </w:pPr>
    </w:p>
    <w:p w14:paraId="648CE284" w14:textId="77777777" w:rsidR="005A320A" w:rsidRPr="00421D6F" w:rsidRDefault="005A320A" w:rsidP="0032468F">
      <w:pPr>
        <w:bidi w:val="0"/>
        <w:ind w:left="-280" w:right="-142"/>
        <w:rPr>
          <w:rFonts w:ascii="Times New Roman" w:eastAsia="Times New Roman" w:hAnsi="Times New Roman" w:cs="Times New Roman"/>
          <w:sz w:val="16"/>
          <w:szCs w:val="16"/>
          <w:lang w:bidi="ar-BH"/>
        </w:rPr>
      </w:pPr>
    </w:p>
    <w:p w14:paraId="0BDAE036" w14:textId="77777777" w:rsidR="008E2282" w:rsidRPr="00421D6F" w:rsidRDefault="00000000" w:rsidP="0032468F">
      <w:pPr>
        <w:pStyle w:val="ListParagraph"/>
        <w:numPr>
          <w:ilvl w:val="0"/>
          <w:numId w:val="3"/>
        </w:numPr>
        <w:bidi w:val="0"/>
        <w:ind w:left="-28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National Bodies and Mechanisms Concerned with the Protection and Promotion of Human Rights:</w:t>
      </w:r>
    </w:p>
    <w:p w14:paraId="66D82D90" w14:textId="77777777" w:rsidR="00A65E42" w:rsidRPr="00421D6F" w:rsidRDefault="00000000" w:rsidP="0032468F">
      <w:pPr>
        <w:bidi w:val="0"/>
        <w:ind w:left="-100" w:right="-142" w:hanging="270"/>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b/>
          <w:bCs/>
          <w:sz w:val="24"/>
          <w:szCs w:val="24"/>
          <w:u w:val="single"/>
        </w:rPr>
        <w:t>- National Committees:</w:t>
      </w:r>
    </w:p>
    <w:p w14:paraId="0E58E520"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Permanent Committee for Human Rights.</w:t>
      </w:r>
    </w:p>
    <w:p w14:paraId="035AC11D"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Committee to Combat Human Trafficking.</w:t>
      </w:r>
    </w:p>
    <w:p w14:paraId="4BAF29C3"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Committee on International Humanitarian Law.</w:t>
      </w:r>
    </w:p>
    <w:p w14:paraId="19E1E879" w14:textId="77777777" w:rsidR="00CB7897"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Committee for Education, Culture and Science.</w:t>
      </w:r>
    </w:p>
    <w:p w14:paraId="0AA01A24" w14:textId="0E3C3936" w:rsidR="00CB7897"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National Anti-Money Laundering, Combating Financing of Terrorism, Illegal </w:t>
      </w:r>
      <w:r w:rsidR="008F1419" w:rsidRPr="00421D6F">
        <w:rPr>
          <w:rFonts w:ascii="Times New Roman" w:eastAsia="Times New Roman" w:hAnsi="Times New Roman" w:cs="Times New Roman"/>
          <w:sz w:val="24"/>
          <w:szCs w:val="24"/>
        </w:rPr>
        <w:t>Organizations</w:t>
      </w:r>
      <w:r w:rsidRPr="00421D6F">
        <w:rPr>
          <w:rFonts w:ascii="Times New Roman" w:eastAsia="Times New Roman" w:hAnsi="Times New Roman" w:cs="Times New Roman"/>
          <w:sz w:val="24"/>
          <w:szCs w:val="24"/>
        </w:rPr>
        <w:t xml:space="preserve"> Committee. </w:t>
      </w:r>
    </w:p>
    <w:p w14:paraId="3B1782B0" w14:textId="77777777" w:rsidR="005A320A" w:rsidRPr="00421D6F" w:rsidRDefault="00000000" w:rsidP="0032468F">
      <w:pPr>
        <w:bidi w:val="0"/>
        <w:ind w:left="2510" w:right="-142" w:hanging="2880"/>
        <w:jc w:val="left"/>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b/>
          <w:bCs/>
          <w:sz w:val="24"/>
          <w:szCs w:val="24"/>
          <w:u w:val="single"/>
        </w:rPr>
        <w:t>- Independent Entities:</w:t>
      </w:r>
    </w:p>
    <w:p w14:paraId="0FFD68D7" w14:textId="77777777" w:rsidR="005A320A" w:rsidRPr="00421D6F" w:rsidRDefault="00000000" w:rsidP="0032468F">
      <w:pPr>
        <w:pStyle w:val="ListParagraph"/>
        <w:numPr>
          <w:ilvl w:val="0"/>
          <w:numId w:val="19"/>
        </w:numPr>
        <w:bidi w:val="0"/>
        <w:ind w:left="260" w:right="-142" w:hanging="270"/>
        <w:jc w:val="left"/>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sz w:val="24"/>
          <w:szCs w:val="24"/>
        </w:rPr>
        <w:t>Judicial Authorities.</w:t>
      </w:r>
    </w:p>
    <w:p w14:paraId="07ABBDDA" w14:textId="77777777" w:rsidR="00A65E42" w:rsidRPr="00421D6F" w:rsidRDefault="00000000" w:rsidP="0032468F">
      <w:pPr>
        <w:pStyle w:val="ListParagraph"/>
        <w:numPr>
          <w:ilvl w:val="0"/>
          <w:numId w:val="19"/>
        </w:numPr>
        <w:bidi w:val="0"/>
        <w:ind w:left="260" w:right="-142" w:hanging="270"/>
        <w:jc w:val="left"/>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sz w:val="24"/>
          <w:szCs w:val="24"/>
        </w:rPr>
        <w:t>National Human Rights Institution.</w:t>
      </w:r>
    </w:p>
    <w:p w14:paraId="629EFB15" w14:textId="77777777" w:rsidR="00A65E42" w:rsidRPr="00421D6F" w:rsidRDefault="00000000" w:rsidP="0032468F">
      <w:pPr>
        <w:bidi w:val="0"/>
        <w:ind w:left="350" w:right="-142" w:hanging="720"/>
        <w:jc w:val="left"/>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b/>
          <w:bCs/>
          <w:sz w:val="24"/>
          <w:szCs w:val="24"/>
          <w:u w:val="single"/>
        </w:rPr>
        <w:t>- Government Mechanisms, including:</w:t>
      </w:r>
    </w:p>
    <w:p w14:paraId="081338E3"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Gender Balance Council.</w:t>
      </w:r>
    </w:p>
    <w:p w14:paraId="647A114A"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lastRenderedPageBreak/>
        <w:t>Human Rights Department, Ministry of Interior.</w:t>
      </w:r>
    </w:p>
    <w:p w14:paraId="39F61FE5" w14:textId="77777777" w:rsidR="004B16C5"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Human Rights Department, Ministry of Foreign Affairs.</w:t>
      </w:r>
    </w:p>
    <w:p w14:paraId="32327021"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Labour Guidance Department and Labour Care Units – Ministry of Human Resources and Emiratization.</w:t>
      </w:r>
    </w:p>
    <w:p w14:paraId="540476F5"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Specialized Committee for Persons with Disabilities – Ministry of Community Development.</w:t>
      </w:r>
    </w:p>
    <w:p w14:paraId="4A546E18"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Supreme Council for Motherhood and Childhood.</w:t>
      </w:r>
    </w:p>
    <w:p w14:paraId="24106770"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Family Development Foundation.</w:t>
      </w:r>
    </w:p>
    <w:p w14:paraId="245CE990" w14:textId="77777777" w:rsidR="00A65E42"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Supreme Council for Family Affairs.</w:t>
      </w:r>
    </w:p>
    <w:p w14:paraId="1B7903CB" w14:textId="77777777" w:rsidR="004B16C5"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Abu Dhabi Center for Shelter and Humanitarian Care.</w:t>
      </w:r>
    </w:p>
    <w:p w14:paraId="0C934B5B" w14:textId="77777777" w:rsidR="000C0218" w:rsidRPr="00421D6F" w:rsidRDefault="00000000" w:rsidP="0032468F">
      <w:pPr>
        <w:pStyle w:val="ListParagraph"/>
        <w:numPr>
          <w:ilvl w:val="0"/>
          <w:numId w:val="6"/>
        </w:numPr>
        <w:bidi w:val="0"/>
        <w:ind w:left="80" w:right="-142" w:hanging="18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Ministry of Family Affairs.</w:t>
      </w:r>
    </w:p>
    <w:p w14:paraId="09BE95EA" w14:textId="77777777" w:rsidR="00406E70" w:rsidRPr="00421D6F" w:rsidRDefault="00406E70" w:rsidP="0032468F">
      <w:pPr>
        <w:pStyle w:val="ListParagraph"/>
        <w:bidi w:val="0"/>
        <w:ind w:left="-280" w:right="-142"/>
        <w:rPr>
          <w:rFonts w:ascii="Times New Roman" w:eastAsia="Times New Roman" w:hAnsi="Times New Roman" w:cs="Times New Roman"/>
          <w:sz w:val="16"/>
          <w:szCs w:val="16"/>
        </w:rPr>
      </w:pPr>
    </w:p>
    <w:p w14:paraId="6F89D9CB" w14:textId="77777777" w:rsidR="00A65E42" w:rsidRPr="00421D6F" w:rsidRDefault="00000000" w:rsidP="0032468F">
      <w:pPr>
        <w:pStyle w:val="ListParagraph"/>
        <w:bidi w:val="0"/>
        <w:ind w:left="-190" w:right="-142" w:hanging="180"/>
        <w:jc w:val="left"/>
        <w:rPr>
          <w:rFonts w:ascii="Times New Roman" w:eastAsia="Times New Roman" w:hAnsi="Times New Roman" w:cs="Times New Roman"/>
          <w:sz w:val="24"/>
          <w:szCs w:val="24"/>
          <w:u w:val="single"/>
        </w:rPr>
      </w:pPr>
      <w:r w:rsidRPr="00421D6F">
        <w:rPr>
          <w:rFonts w:ascii="Times New Roman" w:eastAsia="Times New Roman" w:hAnsi="Times New Roman" w:cs="Times New Roman"/>
          <w:b/>
          <w:bCs/>
          <w:sz w:val="24"/>
          <w:szCs w:val="24"/>
          <w:u w:val="single"/>
          <w:lang w:bidi="ar-BH"/>
        </w:rPr>
        <w:t>- Civil Associations and Institutions Concerned with Human Rights:</w:t>
      </w:r>
    </w:p>
    <w:p w14:paraId="16752BE5" w14:textId="77777777" w:rsidR="00A65E42" w:rsidRPr="00421D6F" w:rsidRDefault="00000000" w:rsidP="0032468F">
      <w:pPr>
        <w:bidi w:val="0"/>
        <w:ind w:left="-280" w:right="-142"/>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There are more than 1,024 public-benefit associations and institutions in the UAE, including general associations dedicated to human rights, as well as specialized associations focusing on a specific human right or on the rights of a priority group in need of care (such as persons with disabilities, women, and children). Examples include:</w:t>
      </w:r>
    </w:p>
    <w:p w14:paraId="2821C071" w14:textId="77777777" w:rsidR="00A65E42" w:rsidRPr="00421D6F" w:rsidRDefault="00000000" w:rsidP="0032468F">
      <w:pPr>
        <w:pStyle w:val="Heading3"/>
        <w:numPr>
          <w:ilvl w:val="0"/>
          <w:numId w:val="20"/>
        </w:numPr>
        <w:spacing w:before="0" w:line="240" w:lineRule="auto"/>
        <w:ind w:left="260"/>
        <w:rPr>
          <w:rFonts w:ascii="Times New Roman" w:eastAsia="Times New Roman" w:hAnsi="Times New Roman" w:cs="Times New Roman"/>
          <w:color w:val="auto"/>
        </w:rPr>
      </w:pPr>
      <w:r w:rsidRPr="00421D6F">
        <w:rPr>
          <w:rFonts w:ascii="Times New Roman" w:eastAsia="Times New Roman" w:hAnsi="Times New Roman" w:cs="Times New Roman"/>
          <w:color w:val="auto"/>
        </w:rPr>
        <w:t xml:space="preserve">Union Association for Human Rights. </w:t>
      </w:r>
    </w:p>
    <w:p w14:paraId="31E07722" w14:textId="1C2FAFD0" w:rsidR="00A65E42"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General Women’s Union</w:t>
      </w:r>
      <w:r w:rsidR="008F1419" w:rsidRPr="00421D6F">
        <w:rPr>
          <w:rFonts w:ascii="Times New Roman" w:eastAsia="Times New Roman" w:hAnsi="Times New Roman" w:cs="Times New Roman"/>
          <w:sz w:val="24"/>
          <w:szCs w:val="24"/>
        </w:rPr>
        <w:t xml:space="preserve">. </w:t>
      </w:r>
    </w:p>
    <w:p w14:paraId="0B472327" w14:textId="77777777" w:rsidR="004B16C5" w:rsidRPr="00421D6F" w:rsidRDefault="00000000" w:rsidP="0032468F">
      <w:pPr>
        <w:pStyle w:val="ListParagraph"/>
        <w:numPr>
          <w:ilvl w:val="0"/>
          <w:numId w:val="20"/>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Shelters for Victims of Human Trafficking.</w:t>
      </w:r>
    </w:p>
    <w:p w14:paraId="431C53CD" w14:textId="77777777" w:rsidR="00A65E42" w:rsidRPr="00421D6F" w:rsidRDefault="00000000" w:rsidP="0032468F">
      <w:pPr>
        <w:pStyle w:val="Heading3"/>
        <w:numPr>
          <w:ilvl w:val="0"/>
          <w:numId w:val="20"/>
        </w:numPr>
        <w:spacing w:before="0" w:line="240" w:lineRule="auto"/>
        <w:ind w:left="260"/>
        <w:rPr>
          <w:rFonts w:ascii="Times New Roman" w:eastAsia="Times New Roman" w:hAnsi="Times New Roman" w:cs="Times New Roman"/>
          <w:color w:val="auto"/>
        </w:rPr>
      </w:pPr>
      <w:r w:rsidRPr="00421D6F">
        <w:rPr>
          <w:rFonts w:ascii="Times New Roman" w:eastAsia="Times New Roman" w:hAnsi="Times New Roman" w:cs="Times New Roman"/>
          <w:color w:val="auto"/>
        </w:rPr>
        <w:t>Emirates Association of the Visually Impaired.</w:t>
      </w:r>
    </w:p>
    <w:p w14:paraId="30C7C800" w14:textId="77777777" w:rsidR="00A65E42"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Journalists Association.</w:t>
      </w:r>
    </w:p>
    <w:p w14:paraId="7B506A62" w14:textId="77777777" w:rsidR="00A65E42"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Emirates Association for Lawyers and Legal Professionals.</w:t>
      </w:r>
    </w:p>
    <w:p w14:paraId="570E2F41" w14:textId="77777777" w:rsidR="00A65E42"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Emirates Down Syndrome Association.</w:t>
      </w:r>
    </w:p>
    <w:p w14:paraId="5637C1FB" w14:textId="77777777" w:rsidR="00A65E42"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Emirates Nature.</w:t>
      </w:r>
    </w:p>
    <w:p w14:paraId="34198D35" w14:textId="77777777" w:rsidR="00A65E42"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Emirates Child Protection Association.</w:t>
      </w:r>
    </w:p>
    <w:p w14:paraId="534AE79F" w14:textId="77777777" w:rsidR="004B16C5" w:rsidRPr="00421D6F" w:rsidRDefault="00000000" w:rsidP="0032468F">
      <w:pPr>
        <w:pStyle w:val="ListParagraph"/>
        <w:numPr>
          <w:ilvl w:val="0"/>
          <w:numId w:val="20"/>
        </w:numPr>
        <w:bidi w:val="0"/>
        <w:ind w:left="260"/>
        <w:jc w:val="left"/>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Emirates Red Crescent.</w:t>
      </w:r>
    </w:p>
    <w:p w14:paraId="7BA48F88" w14:textId="77777777" w:rsidR="00E3187B" w:rsidRPr="00421D6F" w:rsidRDefault="00000000" w:rsidP="0032468F">
      <w:pPr>
        <w:pStyle w:val="ListParagraph"/>
        <w:numPr>
          <w:ilvl w:val="0"/>
          <w:numId w:val="20"/>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Zayed Charitable and Humanitarian Foundation.</w:t>
      </w:r>
    </w:p>
    <w:p w14:paraId="73234D43" w14:textId="77777777" w:rsidR="00E3187B" w:rsidRPr="00421D6F" w:rsidRDefault="00000000" w:rsidP="0032468F">
      <w:pPr>
        <w:pStyle w:val="ListParagraph"/>
        <w:numPr>
          <w:ilvl w:val="0"/>
          <w:numId w:val="20"/>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Dubai Foundation for Women and Children.</w:t>
      </w:r>
    </w:p>
    <w:p w14:paraId="2C580318" w14:textId="77777777" w:rsidR="008E2282" w:rsidRPr="00421D6F" w:rsidRDefault="008E2282" w:rsidP="0032468F">
      <w:pPr>
        <w:bidi w:val="0"/>
        <w:ind w:left="-280" w:right="-142"/>
        <w:rPr>
          <w:rFonts w:ascii="Times New Roman" w:eastAsia="Times New Roman" w:hAnsi="Times New Roman" w:cs="Times New Roman"/>
          <w:sz w:val="24"/>
          <w:szCs w:val="24"/>
          <w:lang w:bidi="ar-BH"/>
        </w:rPr>
      </w:pPr>
    </w:p>
    <w:p w14:paraId="477B7E05" w14:textId="77777777" w:rsidR="00B23F16" w:rsidRPr="00421D6F" w:rsidRDefault="00000000" w:rsidP="0032468F">
      <w:pPr>
        <w:pStyle w:val="ListParagraph"/>
        <w:numPr>
          <w:ilvl w:val="0"/>
          <w:numId w:val="3"/>
        </w:numPr>
        <w:shd w:val="clear" w:color="auto" w:fill="FFFFFF"/>
        <w:bidi w:val="0"/>
        <w:ind w:left="-100" w:right="-142"/>
        <w:jc w:val="left"/>
        <w:rPr>
          <w:rFonts w:ascii="Times New Roman" w:hAnsi="Times New Roman" w:cs="Times New Roman"/>
          <w:sz w:val="24"/>
          <w:szCs w:val="24"/>
        </w:rPr>
      </w:pPr>
      <w:r w:rsidRPr="00421D6F">
        <w:rPr>
          <w:rFonts w:ascii="Times New Roman" w:eastAsia="Times New Roman" w:hAnsi="Times New Roman" w:cs="Times New Roman"/>
          <w:b/>
          <w:bCs/>
          <w:sz w:val="24"/>
          <w:szCs w:val="24"/>
          <w:u w:val="single"/>
          <w:lang w:bidi="ar-BH"/>
        </w:rPr>
        <w:t>Attention to the National Framework on Human Rights during the Past Four Years:</w:t>
      </w:r>
    </w:p>
    <w:p w14:paraId="679E5889"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0" w:history="1">
        <w:r w:rsidRPr="00421D6F">
          <w:rPr>
            <w:rFonts w:ascii="Times New Roman" w:eastAsia="Times New Roman" w:hAnsi="Times New Roman" w:cs="Times New Roman"/>
            <w:sz w:val="24"/>
            <w:szCs w:val="24"/>
          </w:rPr>
          <w:t>Federal Law No. (5) of 2019 on the Regulation of the Practice of Human Medicine</w:t>
        </w:r>
      </w:hyperlink>
      <w:r w:rsidRPr="00421D6F">
        <w:rPr>
          <w:rFonts w:ascii="Times New Roman" w:eastAsia="Times New Roman" w:hAnsi="Times New Roman" w:cs="Times New Roman"/>
          <w:sz w:val="24"/>
          <w:szCs w:val="24"/>
        </w:rPr>
        <w:t>.</w:t>
      </w:r>
    </w:p>
    <w:p w14:paraId="40B76DFD"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1" w:history="1">
        <w:r w:rsidRPr="00421D6F">
          <w:rPr>
            <w:rFonts w:ascii="Times New Roman" w:eastAsia="Times New Roman" w:hAnsi="Times New Roman" w:cs="Times New Roman"/>
            <w:sz w:val="24"/>
            <w:szCs w:val="24"/>
          </w:rPr>
          <w:t>Federal Law No. (7) of 2019 on Medical Assistance for Reproduction</w:t>
        </w:r>
      </w:hyperlink>
      <w:r w:rsidRPr="00421D6F">
        <w:rPr>
          <w:rFonts w:ascii="Times New Roman" w:eastAsia="Times New Roman" w:hAnsi="Times New Roman" w:cs="Times New Roman"/>
          <w:sz w:val="24"/>
          <w:szCs w:val="24"/>
        </w:rPr>
        <w:t>.</w:t>
      </w:r>
    </w:p>
    <w:p w14:paraId="5803642A" w14:textId="77777777" w:rsidR="001623BD"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(9) of 2019 on the Rights of Senior Citizens.</w:t>
      </w:r>
    </w:p>
    <w:p w14:paraId="1526969F" w14:textId="77777777" w:rsidR="00EC7600"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(10) of 2019 on Regulating Judicial Relations between the Federal and Local Judicial Authorities.</w:t>
      </w:r>
    </w:p>
    <w:p w14:paraId="046D12CE"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2" w:history="1">
        <w:r w:rsidRPr="00421D6F">
          <w:rPr>
            <w:rFonts w:ascii="Times New Roman" w:eastAsia="Times New Roman" w:hAnsi="Times New Roman" w:cs="Times New Roman"/>
            <w:sz w:val="24"/>
            <w:szCs w:val="24"/>
          </w:rPr>
          <w:t>Federal Decree-Law No. (19) of 2019 on Insolvency</w:t>
        </w:r>
      </w:hyperlink>
      <w:r w:rsidRPr="00421D6F">
        <w:rPr>
          <w:rFonts w:ascii="Times New Roman" w:eastAsia="Times New Roman" w:hAnsi="Times New Roman" w:cs="Times New Roman"/>
          <w:sz w:val="24"/>
          <w:szCs w:val="24"/>
        </w:rPr>
        <w:t>.</w:t>
      </w:r>
    </w:p>
    <w:p w14:paraId="67770F6C"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3" w:history="1">
        <w:r w:rsidRPr="00421D6F">
          <w:rPr>
            <w:rFonts w:ascii="Times New Roman" w:eastAsia="Times New Roman" w:hAnsi="Times New Roman" w:cs="Times New Roman"/>
            <w:sz w:val="24"/>
            <w:szCs w:val="24"/>
          </w:rPr>
          <w:t>Federal Law No. (3) of 2020 on Regulating the Strategic Stock of Food Commodities in the UAE</w:t>
        </w:r>
      </w:hyperlink>
      <w:r w:rsidRPr="00421D6F">
        <w:rPr>
          <w:rFonts w:ascii="Times New Roman" w:eastAsia="Times New Roman" w:hAnsi="Times New Roman" w:cs="Times New Roman"/>
          <w:sz w:val="24"/>
          <w:szCs w:val="24"/>
        </w:rPr>
        <w:t>.</w:t>
      </w:r>
    </w:p>
    <w:p w14:paraId="5D9790FA"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4" w:history="1">
        <w:r w:rsidRPr="00421D6F">
          <w:rPr>
            <w:rFonts w:ascii="Times New Roman" w:eastAsia="Times New Roman" w:hAnsi="Times New Roman" w:cs="Times New Roman"/>
            <w:sz w:val="24"/>
            <w:szCs w:val="24"/>
          </w:rPr>
          <w:t>Federal Law No. (4) of 2020 on Securing Rights over Movable Property</w:t>
        </w:r>
      </w:hyperlink>
      <w:r w:rsidRPr="00421D6F">
        <w:rPr>
          <w:rFonts w:ascii="Times New Roman" w:eastAsia="Times New Roman" w:hAnsi="Times New Roman" w:cs="Times New Roman"/>
          <w:sz w:val="24"/>
          <w:szCs w:val="24"/>
        </w:rPr>
        <w:t>.</w:t>
      </w:r>
    </w:p>
    <w:p w14:paraId="1AA1B27F"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5" w:history="1">
        <w:r w:rsidRPr="00421D6F">
          <w:rPr>
            <w:rFonts w:ascii="Times New Roman" w:eastAsia="Times New Roman" w:hAnsi="Times New Roman" w:cs="Times New Roman"/>
            <w:sz w:val="24"/>
            <w:szCs w:val="24"/>
          </w:rPr>
          <w:t>Federal Law No. (9) of 2020 on Biosafety of Genetically Modified Organisms and their Products</w:t>
        </w:r>
      </w:hyperlink>
      <w:r w:rsidRPr="00421D6F">
        <w:rPr>
          <w:rFonts w:ascii="Times New Roman" w:eastAsia="Times New Roman" w:hAnsi="Times New Roman" w:cs="Times New Roman"/>
          <w:sz w:val="24"/>
          <w:szCs w:val="24"/>
        </w:rPr>
        <w:t>.</w:t>
      </w:r>
    </w:p>
    <w:p w14:paraId="48496649" w14:textId="77777777" w:rsidR="00ED268D"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(13) of 2020 on Public Health.</w:t>
      </w:r>
    </w:p>
    <w:p w14:paraId="42E5E88B"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6" w:history="1">
        <w:r w:rsidRPr="00421D6F">
          <w:rPr>
            <w:rFonts w:ascii="Times New Roman" w:eastAsia="Times New Roman" w:hAnsi="Times New Roman" w:cs="Times New Roman"/>
            <w:sz w:val="24"/>
            <w:szCs w:val="24"/>
          </w:rPr>
          <w:t>Federal Law No. (14) of 2020 on the Protection of Witnesses and Persons in Equivalent Status</w:t>
        </w:r>
      </w:hyperlink>
      <w:r w:rsidRPr="00421D6F">
        <w:rPr>
          <w:rFonts w:ascii="Times New Roman" w:eastAsia="Times New Roman" w:hAnsi="Times New Roman" w:cs="Times New Roman"/>
          <w:sz w:val="24"/>
          <w:szCs w:val="24"/>
        </w:rPr>
        <w:t>.</w:t>
      </w:r>
    </w:p>
    <w:p w14:paraId="0916F72A"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7" w:history="1">
        <w:r w:rsidRPr="00421D6F">
          <w:rPr>
            <w:rFonts w:ascii="Times New Roman" w:eastAsia="Times New Roman" w:hAnsi="Times New Roman" w:cs="Times New Roman"/>
            <w:sz w:val="24"/>
            <w:szCs w:val="24"/>
          </w:rPr>
          <w:t>Federal Law No. (15) of 2020 on Consumer Protection</w:t>
        </w:r>
      </w:hyperlink>
      <w:r w:rsidRPr="00421D6F">
        <w:rPr>
          <w:rFonts w:ascii="Times New Roman" w:eastAsia="Times New Roman" w:hAnsi="Times New Roman" w:cs="Times New Roman"/>
          <w:sz w:val="24"/>
          <w:szCs w:val="24"/>
        </w:rPr>
        <w:t>.</w:t>
      </w:r>
    </w:p>
    <w:p w14:paraId="5114B17E"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8" w:history="1">
        <w:r w:rsidRPr="00421D6F">
          <w:rPr>
            <w:rFonts w:ascii="Times New Roman" w:eastAsia="Times New Roman" w:hAnsi="Times New Roman" w:cs="Times New Roman"/>
            <w:sz w:val="24"/>
            <w:szCs w:val="24"/>
          </w:rPr>
          <w:t>Federal Decree-Law No. (18) of 2020 on Private Education</w:t>
        </w:r>
      </w:hyperlink>
      <w:r w:rsidRPr="00421D6F">
        <w:rPr>
          <w:rFonts w:ascii="Times New Roman" w:eastAsia="Times New Roman" w:hAnsi="Times New Roman" w:cs="Times New Roman"/>
          <w:sz w:val="24"/>
          <w:szCs w:val="24"/>
        </w:rPr>
        <w:t>.</w:t>
      </w:r>
    </w:p>
    <w:p w14:paraId="21EA0132" w14:textId="77777777" w:rsidR="00DA7379" w:rsidRPr="00421D6F" w:rsidRDefault="00DA7379" w:rsidP="0032468F">
      <w:pPr>
        <w:pStyle w:val="ListParagraph"/>
        <w:numPr>
          <w:ilvl w:val="0"/>
          <w:numId w:val="21"/>
        </w:numPr>
        <w:bidi w:val="0"/>
        <w:ind w:left="260" w:right="-142"/>
        <w:rPr>
          <w:rFonts w:ascii="Times New Roman" w:eastAsia="Times New Roman" w:hAnsi="Times New Roman" w:cs="Times New Roman"/>
          <w:sz w:val="24"/>
          <w:szCs w:val="24"/>
        </w:rPr>
      </w:pPr>
      <w:hyperlink r:id="rId19" w:history="1">
        <w:r w:rsidRPr="00421D6F">
          <w:rPr>
            <w:rFonts w:ascii="Times New Roman" w:eastAsia="Times New Roman" w:hAnsi="Times New Roman" w:cs="Times New Roman"/>
            <w:sz w:val="24"/>
            <w:szCs w:val="24"/>
          </w:rPr>
          <w:t>Federal Law No. (3) of 2021 on the Regulation of Donations</w:t>
        </w:r>
      </w:hyperlink>
      <w:r w:rsidRPr="00421D6F">
        <w:rPr>
          <w:rFonts w:ascii="Times New Roman" w:eastAsia="Times New Roman" w:hAnsi="Times New Roman" w:cs="Times New Roman"/>
          <w:sz w:val="24"/>
          <w:szCs w:val="24"/>
        </w:rPr>
        <w:t>.</w:t>
      </w:r>
    </w:p>
    <w:p w14:paraId="293CAD83" w14:textId="77777777" w:rsidR="00EC7600"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(12) of 2021 establishing the National Human Rights Institution as an independent entity in accordance with the Paris Principles.</w:t>
      </w:r>
    </w:p>
    <w:p w14:paraId="17D945F8" w14:textId="77777777" w:rsidR="00423CE1" w:rsidRPr="00421D6F" w:rsidRDefault="00423CE1" w:rsidP="0032468F">
      <w:pPr>
        <w:pStyle w:val="ListParagraph"/>
        <w:numPr>
          <w:ilvl w:val="0"/>
          <w:numId w:val="21"/>
        </w:numPr>
        <w:bidi w:val="0"/>
        <w:ind w:left="260" w:right="-142"/>
        <w:rPr>
          <w:rFonts w:ascii="Times New Roman" w:eastAsia="Times New Roman" w:hAnsi="Times New Roman" w:cs="Times New Roman"/>
          <w:sz w:val="24"/>
          <w:szCs w:val="24"/>
        </w:rPr>
      </w:pPr>
      <w:hyperlink r:id="rId20" w:history="1">
        <w:r w:rsidRPr="00421D6F">
          <w:rPr>
            <w:rFonts w:ascii="Times New Roman" w:eastAsia="Times New Roman" w:hAnsi="Times New Roman" w:cs="Times New Roman"/>
            <w:sz w:val="24"/>
            <w:szCs w:val="24"/>
          </w:rPr>
          <w:t>Federal Law No. (11) of 2021 on the Regulation and Protection of Industrial Property Rights</w:t>
        </w:r>
      </w:hyperlink>
      <w:r w:rsidRPr="00421D6F">
        <w:rPr>
          <w:rFonts w:ascii="Times New Roman" w:eastAsia="Times New Roman" w:hAnsi="Times New Roman" w:cs="Times New Roman"/>
          <w:sz w:val="24"/>
          <w:szCs w:val="24"/>
        </w:rPr>
        <w:t>.</w:t>
      </w:r>
    </w:p>
    <w:p w14:paraId="055E0A99" w14:textId="77777777" w:rsidR="00423CE1" w:rsidRPr="00421D6F" w:rsidRDefault="00423CE1" w:rsidP="0032468F">
      <w:pPr>
        <w:pStyle w:val="ListParagraph"/>
        <w:numPr>
          <w:ilvl w:val="0"/>
          <w:numId w:val="21"/>
        </w:numPr>
        <w:bidi w:val="0"/>
        <w:ind w:left="260" w:right="-142"/>
        <w:rPr>
          <w:rFonts w:ascii="Times New Roman" w:eastAsia="Times New Roman" w:hAnsi="Times New Roman" w:cs="Times New Roman"/>
          <w:sz w:val="24"/>
          <w:szCs w:val="24"/>
        </w:rPr>
      </w:pPr>
      <w:hyperlink r:id="rId21" w:history="1">
        <w:r w:rsidRPr="00421D6F">
          <w:rPr>
            <w:rFonts w:ascii="Times New Roman" w:eastAsia="Times New Roman" w:hAnsi="Times New Roman" w:cs="Times New Roman"/>
            <w:sz w:val="24"/>
            <w:szCs w:val="24"/>
          </w:rPr>
          <w:t>Federal Decree-Law No. (13) of 2021 establishing and regulating the Federal Judicial Seizure Office</w:t>
        </w:r>
      </w:hyperlink>
      <w:r w:rsidRPr="00421D6F">
        <w:rPr>
          <w:rFonts w:ascii="Times New Roman" w:eastAsia="Times New Roman" w:hAnsi="Times New Roman" w:cs="Times New Roman"/>
          <w:sz w:val="24"/>
          <w:szCs w:val="24"/>
        </w:rPr>
        <w:t>.</w:t>
      </w:r>
    </w:p>
    <w:p w14:paraId="03C93859" w14:textId="77777777" w:rsidR="00423CE1" w:rsidRPr="00421D6F" w:rsidRDefault="00423CE1" w:rsidP="0032468F">
      <w:pPr>
        <w:pStyle w:val="ListParagraph"/>
        <w:numPr>
          <w:ilvl w:val="0"/>
          <w:numId w:val="21"/>
        </w:numPr>
        <w:bidi w:val="0"/>
        <w:ind w:left="260" w:right="-142"/>
        <w:rPr>
          <w:rFonts w:ascii="Times New Roman" w:eastAsia="Times New Roman" w:hAnsi="Times New Roman" w:cs="Times New Roman"/>
          <w:sz w:val="24"/>
          <w:szCs w:val="24"/>
        </w:rPr>
      </w:pPr>
      <w:hyperlink r:id="rId22" w:history="1">
        <w:r w:rsidRPr="00421D6F">
          <w:rPr>
            <w:rFonts w:ascii="Times New Roman" w:eastAsia="Times New Roman" w:hAnsi="Times New Roman" w:cs="Times New Roman"/>
            <w:sz w:val="24"/>
            <w:szCs w:val="24"/>
          </w:rPr>
          <w:t>Federal Decree-Law No. (24) of 2021 on the Accountability of Ministers and Senior Federal Officials</w:t>
        </w:r>
      </w:hyperlink>
      <w:r w:rsidRPr="00421D6F">
        <w:rPr>
          <w:rFonts w:ascii="Times New Roman" w:eastAsia="Times New Roman" w:hAnsi="Times New Roman" w:cs="Times New Roman"/>
          <w:sz w:val="24"/>
          <w:szCs w:val="24"/>
        </w:rPr>
        <w:t>.</w:t>
      </w:r>
    </w:p>
    <w:p w14:paraId="59835A9D" w14:textId="77777777" w:rsidR="00423CE1" w:rsidRPr="00421D6F" w:rsidRDefault="00423CE1" w:rsidP="0032468F">
      <w:pPr>
        <w:pStyle w:val="ListParagraph"/>
        <w:numPr>
          <w:ilvl w:val="0"/>
          <w:numId w:val="21"/>
        </w:numPr>
        <w:bidi w:val="0"/>
        <w:ind w:left="260" w:right="-142"/>
        <w:rPr>
          <w:rFonts w:ascii="Times New Roman" w:eastAsia="Times New Roman" w:hAnsi="Times New Roman" w:cs="Times New Roman"/>
          <w:sz w:val="24"/>
          <w:szCs w:val="24"/>
        </w:rPr>
      </w:pPr>
      <w:hyperlink r:id="rId23" w:history="1">
        <w:r w:rsidRPr="00421D6F">
          <w:rPr>
            <w:rFonts w:ascii="Times New Roman" w:eastAsia="Times New Roman" w:hAnsi="Times New Roman" w:cs="Times New Roman"/>
            <w:sz w:val="24"/>
            <w:szCs w:val="24"/>
          </w:rPr>
          <w:t>Federal Decree-Law No. (29) of 2021 on Entry and Residence of Foreigners</w:t>
        </w:r>
      </w:hyperlink>
      <w:r w:rsidRPr="00421D6F">
        <w:rPr>
          <w:rFonts w:ascii="Times New Roman" w:eastAsia="Times New Roman" w:hAnsi="Times New Roman" w:cs="Times New Roman"/>
          <w:sz w:val="24"/>
          <w:szCs w:val="24"/>
        </w:rPr>
        <w:t>.</w:t>
      </w:r>
    </w:p>
    <w:p w14:paraId="1F38204A" w14:textId="77777777" w:rsidR="004A6464"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(31) of 2021 issuing the Crimes and Penalties Law.</w:t>
      </w:r>
    </w:p>
    <w:p w14:paraId="473B75E6" w14:textId="77777777" w:rsidR="00AA4460"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(33) of 2021 on the Regulation of Labour Relations.</w:t>
      </w:r>
    </w:p>
    <w:p w14:paraId="4F26C92D"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(34) of 2021 on Combating Rumors and Cybercrimes.</w:t>
      </w:r>
    </w:p>
    <w:p w14:paraId="1E00AE46" w14:textId="77777777" w:rsidR="00423CE1"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(38) of 2021 on Copyrights and Neighboring Rights.</w:t>
      </w:r>
    </w:p>
    <w:p w14:paraId="1B2A6EA0"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(45) of 2021 on the Protection of Personal Data.</w:t>
      </w:r>
    </w:p>
    <w:p w14:paraId="45E2B6A2" w14:textId="77777777" w:rsidR="00423CE1" w:rsidRPr="00421D6F" w:rsidRDefault="00423CE1" w:rsidP="0032468F">
      <w:pPr>
        <w:pStyle w:val="ListParagraph"/>
        <w:numPr>
          <w:ilvl w:val="0"/>
          <w:numId w:val="21"/>
        </w:numPr>
        <w:bidi w:val="0"/>
        <w:ind w:left="260" w:right="-142"/>
        <w:rPr>
          <w:rFonts w:ascii="Times New Roman" w:eastAsia="Times New Roman" w:hAnsi="Times New Roman" w:cs="Times New Roman"/>
          <w:sz w:val="24"/>
          <w:szCs w:val="24"/>
        </w:rPr>
      </w:pPr>
      <w:hyperlink r:id="rId24" w:history="1">
        <w:r w:rsidRPr="00421D6F">
          <w:rPr>
            <w:rFonts w:ascii="Times New Roman" w:eastAsia="Times New Roman" w:hAnsi="Times New Roman" w:cs="Times New Roman"/>
            <w:sz w:val="24"/>
            <w:szCs w:val="24"/>
          </w:rPr>
          <w:t>Federal Law No. (5) of 2022 on Rehabilitation</w:t>
        </w:r>
      </w:hyperlink>
      <w:r w:rsidRPr="00421D6F">
        <w:rPr>
          <w:rFonts w:ascii="Times New Roman" w:eastAsia="Times New Roman" w:hAnsi="Times New Roman" w:cs="Times New Roman"/>
          <w:sz w:val="24"/>
          <w:szCs w:val="24"/>
        </w:rPr>
        <w:t>.</w:t>
      </w:r>
    </w:p>
    <w:p w14:paraId="25853BC5" w14:textId="77777777" w:rsidR="00B9200B"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(6) of 2022 on Juvenile Delinquents and Those at Risk of Delinquency, and Cabinet Resolution No. (133) of 2023 issuing the Executive Regulations of Federal Law No. (6) of 2022 on Juvenile Delinquents and Those at Risk of Delinquency.</w:t>
      </w:r>
    </w:p>
    <w:p w14:paraId="0352C305" w14:textId="77777777" w:rsidR="00B9200B"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(9) of 2022 on Domestic Workers and its amendments.</w:t>
      </w:r>
    </w:p>
    <w:p w14:paraId="1910511D"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(10) of 2022 on the Registration of Births and Deaths.</w:t>
      </w:r>
    </w:p>
    <w:p w14:paraId="22048527" w14:textId="77777777" w:rsidR="00924845"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(13) of 2022 on Unemployment Insurance.</w:t>
      </w:r>
    </w:p>
    <w:p w14:paraId="2274FBD1"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(21) of 2022 on the Regulation of the Expert Profession before Judicial Authorities.</w:t>
      </w:r>
    </w:p>
    <w:p w14:paraId="7CED41CF"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(22) of 2022 on the Regulation of the Translation Profession.</w:t>
      </w:r>
    </w:p>
    <w:p w14:paraId="3502ADF1"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(24) of 2022 on Unknown Parentage.</w:t>
      </w:r>
    </w:p>
    <w:p w14:paraId="42D7C740"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(34) of 2022 on the Regulation of the Advocacy and Legal Consultancy Professions.</w:t>
      </w:r>
    </w:p>
    <w:p w14:paraId="6B03ADC7" w14:textId="77777777" w:rsidR="00B9200B"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(38) of 2022 issuing the Criminal Procedure Law.</w:t>
      </w:r>
    </w:p>
    <w:p w14:paraId="072E88BB" w14:textId="77777777" w:rsidR="00B9200B"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(39) of 2022 on Compulsory Education.</w:t>
      </w:r>
    </w:p>
    <w:p w14:paraId="1F4034E5"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(41) of 2022 on Civil Personal Status.</w:t>
      </w:r>
    </w:p>
    <w:p w14:paraId="7D39E930" w14:textId="77777777" w:rsidR="00B9200B"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(42) of 2022 issuing the Civil Procedure Law.</w:t>
      </w:r>
    </w:p>
    <w:p w14:paraId="31B3D8E4" w14:textId="77777777" w:rsidR="00B9200B"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(49) of 2022 on Human Resources in the Federal Government.</w:t>
      </w:r>
    </w:p>
    <w:p w14:paraId="5B945F72" w14:textId="77777777" w:rsidR="005E2B14"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(32) of 2022 on the Regulation of the Federal Judiciary.</w:t>
      </w:r>
    </w:p>
    <w:p w14:paraId="661E703A" w14:textId="77777777" w:rsidR="005A0B47"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(9) of 2023 on the Regulation of Non-Muslim Places of Worship, and Cabinet Resolution No. (82) of 2024 issuing the Executive Regulations of Federal Law No. (9) of 2023 on the Regulation of Non-Muslim Places of Worship.</w:t>
      </w:r>
    </w:p>
    <w:p w14:paraId="38C45CC7" w14:textId="77777777" w:rsidR="002F0AA0"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Law No. (10) of 2023 on Mental Health.</w:t>
      </w:r>
    </w:p>
    <w:p w14:paraId="602813DC" w14:textId="77777777" w:rsidR="008B6C0A"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(24) of 2023 on Combating Human Trafficking.</w:t>
      </w:r>
    </w:p>
    <w:p w14:paraId="7C8EC964" w14:textId="77777777" w:rsidR="000C1789"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(25) of 2023 on Donation and Transplantation of Human Organs and Tissues.</w:t>
      </w:r>
    </w:p>
    <w:p w14:paraId="0CD105CE" w14:textId="77777777" w:rsidR="004A6464"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(34) of 2023 on Combating Discrimination, Hatred, and Extremism.</w:t>
      </w:r>
    </w:p>
    <w:p w14:paraId="49D868B5" w14:textId="77777777" w:rsidR="005E2B14"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(42) of 2023 on Combating Commercial Fraud.</w:t>
      </w:r>
    </w:p>
    <w:p w14:paraId="0E35BC6D"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(46) of 2023 on the Regulation of the Space Sector.</w:t>
      </w:r>
    </w:p>
    <w:p w14:paraId="3E8A5ED1"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(49) of 2023 on the Regulation of the Use of the Human Genome.</w:t>
      </w:r>
    </w:p>
    <w:p w14:paraId="5D643AC3" w14:textId="77777777" w:rsidR="004A6464"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(50) of 2023 on the Regulation of Public Benefit Associations.</w:t>
      </w:r>
    </w:p>
    <w:p w14:paraId="692F2593" w14:textId="77777777" w:rsidR="005D2FD6"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(51) of 2023 issuing the Financial Reorganization and Insolvency Law.</w:t>
      </w:r>
    </w:p>
    <w:p w14:paraId="50C17755"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(55) of 2023 on the Regulation of Media.</w:t>
      </w:r>
    </w:p>
    <w:p w14:paraId="290BC62E"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(57) of 2023 on Pensions and Social Insurance.</w:t>
      </w:r>
    </w:p>
    <w:p w14:paraId="43BEA56F" w14:textId="77777777" w:rsidR="006C2422" w:rsidRPr="00421D6F" w:rsidRDefault="00000000" w:rsidP="0032468F">
      <w:pPr>
        <w:pStyle w:val="ListParagraph"/>
        <w:numPr>
          <w:ilvl w:val="0"/>
          <w:numId w:val="21"/>
        </w:numPr>
        <w:bidi w:val="0"/>
        <w:ind w:left="2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Federal Decree-Law No. (11) of 2024 on Limiting the Impacts of Climate Change.</w:t>
      </w:r>
    </w:p>
    <w:p w14:paraId="03DD5B2F" w14:textId="77777777" w:rsidR="005E2B14" w:rsidRPr="00421D6F" w:rsidRDefault="005E2B14" w:rsidP="0032468F">
      <w:pPr>
        <w:pStyle w:val="ListParagraph"/>
        <w:numPr>
          <w:ilvl w:val="0"/>
          <w:numId w:val="21"/>
        </w:numPr>
        <w:bidi w:val="0"/>
        <w:ind w:left="259" w:right="-142"/>
        <w:rPr>
          <w:rFonts w:ascii="Times New Roman" w:eastAsia="Times New Roman" w:hAnsi="Times New Roman" w:cs="Times New Roman"/>
          <w:sz w:val="24"/>
          <w:szCs w:val="24"/>
        </w:rPr>
      </w:pPr>
      <w:hyperlink r:id="rId25" w:history="1">
        <w:r w:rsidRPr="00421D6F">
          <w:rPr>
            <w:rFonts w:ascii="Times New Roman" w:eastAsia="Times New Roman" w:hAnsi="Times New Roman" w:cs="Times New Roman"/>
            <w:sz w:val="24"/>
            <w:szCs w:val="24"/>
          </w:rPr>
          <w:t>Federal Decree-Law No. (13) of 2024 on Protection from Domestic Violence</w:t>
        </w:r>
      </w:hyperlink>
      <w:r w:rsidRPr="00421D6F">
        <w:rPr>
          <w:rFonts w:ascii="Times New Roman" w:eastAsia="Times New Roman" w:hAnsi="Times New Roman" w:cs="Times New Roman"/>
          <w:sz w:val="24"/>
          <w:szCs w:val="24"/>
        </w:rPr>
        <w:t>.</w:t>
      </w:r>
    </w:p>
    <w:p w14:paraId="5DFFD4F7" w14:textId="77777777" w:rsidR="005E2B14" w:rsidRPr="00421D6F" w:rsidRDefault="005E2B14" w:rsidP="0032468F">
      <w:pPr>
        <w:pStyle w:val="ListParagraph"/>
        <w:numPr>
          <w:ilvl w:val="0"/>
          <w:numId w:val="21"/>
        </w:numPr>
        <w:bidi w:val="0"/>
        <w:ind w:left="259" w:right="-142"/>
        <w:rPr>
          <w:rFonts w:ascii="Times New Roman" w:eastAsia="Times New Roman" w:hAnsi="Times New Roman" w:cs="Times New Roman"/>
          <w:sz w:val="24"/>
          <w:szCs w:val="24"/>
        </w:rPr>
      </w:pPr>
      <w:hyperlink r:id="rId26" w:history="1">
        <w:r w:rsidRPr="00421D6F">
          <w:rPr>
            <w:rFonts w:ascii="Times New Roman" w:eastAsia="Times New Roman" w:hAnsi="Times New Roman" w:cs="Times New Roman"/>
            <w:sz w:val="24"/>
            <w:szCs w:val="24"/>
          </w:rPr>
          <w:t>Federal Decree-Law No. (14) of 2024 on the Regulation of Traffic</w:t>
        </w:r>
      </w:hyperlink>
      <w:r w:rsidRPr="00421D6F">
        <w:rPr>
          <w:rFonts w:ascii="Times New Roman" w:eastAsia="Times New Roman" w:hAnsi="Times New Roman" w:cs="Times New Roman"/>
          <w:sz w:val="24"/>
          <w:szCs w:val="24"/>
        </w:rPr>
        <w:t>.</w:t>
      </w:r>
    </w:p>
    <w:p w14:paraId="3A99FF18" w14:textId="77777777" w:rsidR="005E2B14" w:rsidRPr="00421D6F" w:rsidRDefault="005E2B14" w:rsidP="0032468F">
      <w:pPr>
        <w:pStyle w:val="ListParagraph"/>
        <w:numPr>
          <w:ilvl w:val="0"/>
          <w:numId w:val="21"/>
        </w:numPr>
        <w:bidi w:val="0"/>
        <w:ind w:left="259" w:right="-142"/>
        <w:jc w:val="lowKashida"/>
        <w:rPr>
          <w:rFonts w:ascii="Times New Roman" w:eastAsia="Times New Roman" w:hAnsi="Times New Roman" w:cs="Times New Roman"/>
          <w:sz w:val="24"/>
          <w:szCs w:val="24"/>
        </w:rPr>
      </w:pPr>
      <w:hyperlink r:id="rId27" w:history="1">
        <w:r w:rsidRPr="00421D6F">
          <w:rPr>
            <w:rFonts w:ascii="Times New Roman" w:eastAsia="Times New Roman" w:hAnsi="Times New Roman" w:cs="Times New Roman"/>
            <w:sz w:val="24"/>
            <w:szCs w:val="24"/>
          </w:rPr>
          <w:t>Federal Decree-Law No. (23) of 2024 on Social Support and Empowerment</w:t>
        </w:r>
      </w:hyperlink>
      <w:r w:rsidRPr="00421D6F">
        <w:rPr>
          <w:rFonts w:ascii="Times New Roman" w:eastAsia="Times New Roman" w:hAnsi="Times New Roman" w:cs="Times New Roman"/>
          <w:sz w:val="24"/>
          <w:szCs w:val="24"/>
        </w:rPr>
        <w:t>.</w:t>
      </w:r>
    </w:p>
    <w:p w14:paraId="40DBFCC2" w14:textId="77777777" w:rsidR="005A320A" w:rsidRPr="00421D6F" w:rsidRDefault="005A320A" w:rsidP="0032468F">
      <w:pPr>
        <w:pStyle w:val="Heading4"/>
        <w:numPr>
          <w:ilvl w:val="0"/>
          <w:numId w:val="21"/>
        </w:numPr>
        <w:shd w:val="clear" w:color="auto" w:fill="FFFFFF"/>
        <w:bidi w:val="0"/>
        <w:spacing w:before="0"/>
        <w:ind w:left="259"/>
        <w:jc w:val="lowKashida"/>
        <w:rPr>
          <w:rFonts w:ascii="Times New Roman" w:eastAsia="Times New Roman" w:hAnsi="Times New Roman" w:cs="Times New Roman"/>
          <w:i w:val="0"/>
          <w:iCs w:val="0"/>
          <w:color w:val="auto"/>
          <w:sz w:val="24"/>
          <w:szCs w:val="24"/>
        </w:rPr>
      </w:pPr>
      <w:hyperlink r:id="rId28" w:history="1">
        <w:r w:rsidRPr="00421D6F">
          <w:rPr>
            <w:rFonts w:ascii="Times New Roman" w:eastAsia="Times New Roman" w:hAnsi="Times New Roman" w:cs="Times New Roman"/>
            <w:i w:val="0"/>
            <w:color w:val="auto"/>
            <w:sz w:val="24"/>
            <w:szCs w:val="24"/>
          </w:rPr>
          <w:t>Federal Decree-Law No. (34) of 2024 on the Regulation of Penal and Correctional Institutions</w:t>
        </w:r>
      </w:hyperlink>
      <w:r w:rsidRPr="00421D6F">
        <w:rPr>
          <w:rFonts w:ascii="Times New Roman" w:eastAsia="Times New Roman" w:hAnsi="Times New Roman" w:cs="Times New Roman"/>
          <w:i w:val="0"/>
          <w:color w:val="auto"/>
          <w:sz w:val="24"/>
          <w:szCs w:val="24"/>
        </w:rPr>
        <w:t>.</w:t>
      </w:r>
    </w:p>
    <w:p w14:paraId="527C6B6D" w14:textId="77777777" w:rsidR="006C7E12" w:rsidRPr="00421D6F" w:rsidRDefault="006C7E12" w:rsidP="0032468F">
      <w:pPr>
        <w:pStyle w:val="ListParagraph"/>
        <w:bidi w:val="0"/>
        <w:ind w:left="260" w:right="-142"/>
        <w:rPr>
          <w:rFonts w:ascii="Times New Roman" w:eastAsia="Times New Roman" w:hAnsi="Times New Roman" w:cs="Times New Roman"/>
          <w:i/>
          <w:iCs/>
          <w:sz w:val="24"/>
          <w:szCs w:val="24"/>
        </w:rPr>
      </w:pPr>
    </w:p>
    <w:p w14:paraId="0A322358" w14:textId="77777777" w:rsidR="005A320A" w:rsidRPr="00421D6F" w:rsidRDefault="005A320A" w:rsidP="0032468F">
      <w:pPr>
        <w:bidi w:val="0"/>
        <w:ind w:right="-142"/>
        <w:rPr>
          <w:rFonts w:ascii="Times New Roman" w:eastAsia="Times New Roman" w:hAnsi="Times New Roman" w:cs="Times New Roman"/>
          <w:b/>
          <w:bCs/>
          <w:sz w:val="24"/>
          <w:szCs w:val="24"/>
          <w:lang w:bidi="ar-BH"/>
        </w:rPr>
      </w:pPr>
    </w:p>
    <w:p w14:paraId="4082AC47" w14:textId="77777777" w:rsidR="00322CDD" w:rsidRPr="00421D6F" w:rsidRDefault="00000000" w:rsidP="0032468F">
      <w:pPr>
        <w:pStyle w:val="ListParagraph"/>
        <w:numPr>
          <w:ilvl w:val="0"/>
          <w:numId w:val="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b/>
          <w:bCs/>
          <w:sz w:val="24"/>
          <w:szCs w:val="24"/>
          <w:u w:val="single"/>
          <w:lang w:bidi="ar-BH"/>
        </w:rPr>
        <w:t>National Strategies and Plans:</w:t>
      </w:r>
    </w:p>
    <w:p w14:paraId="7017FA4E" w14:textId="77777777" w:rsidR="006F48AC"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“We the UAE 2031” Vision.</w:t>
      </w:r>
    </w:p>
    <w:p w14:paraId="62EA6C5C"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Policy for the Protection of People of Determination from Abuse – 2019.</w:t>
      </w:r>
    </w:p>
    <w:p w14:paraId="564BE029"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National Action Plan for the Implementation of UN Security Council Resolution 1325 on Women, Peace and Security – 2021.</w:t>
      </w:r>
    </w:p>
    <w:p w14:paraId="37E35D76"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Policy for Child Protection in Educational Institutions – 2022.</w:t>
      </w:r>
    </w:p>
    <w:p w14:paraId="2885462B" w14:textId="77777777" w:rsidR="00EC7600"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Strategy for Anti-Money Laundering, Countering the Financing of Terrorism and Proliferation Financing for 2024-2027.</w:t>
      </w:r>
    </w:p>
    <w:p w14:paraId="1BE1B258"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National Digital Government Strategy 2025.</w:t>
      </w:r>
    </w:p>
    <w:p w14:paraId="3C83A1D3"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Security and Safety Strategy 2026.</w:t>
      </w:r>
    </w:p>
    <w:p w14:paraId="20E3FCE9"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Gender Balance Strategy 2026.</w:t>
      </w:r>
    </w:p>
    <w:p w14:paraId="656A47A4"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Justice Strategy 2026.</w:t>
      </w:r>
    </w:p>
    <w:p w14:paraId="394B45FB" w14:textId="77777777" w:rsidR="00EC7600"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Green Agenda 2030.</w:t>
      </w:r>
    </w:p>
    <w:p w14:paraId="17C87B23"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Nutrition Strategy 2030.</w:t>
      </w:r>
    </w:p>
    <w:p w14:paraId="0128B61A" w14:textId="77777777" w:rsidR="00510E8A"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Plan to Combat Human Trafficking 2024–2026.</w:t>
      </w:r>
    </w:p>
    <w:p w14:paraId="11DEA265" w14:textId="77777777" w:rsidR="008E201A"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Strategy to Combat Desertification 2023–2030.</w:t>
      </w:r>
    </w:p>
    <w:p w14:paraId="2508B0D8" w14:textId="77777777" w:rsidR="008E201A"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Strategy and Action Plan for Invasive Species 2022–2026.</w:t>
      </w:r>
    </w:p>
    <w:p w14:paraId="59751DA1"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Post-COVID-19 Strategy.</w:t>
      </w:r>
    </w:p>
    <w:p w14:paraId="7CFE92CC"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Employment Strategy 2031.</w:t>
      </w:r>
    </w:p>
    <w:p w14:paraId="4D529472" w14:textId="77777777" w:rsidR="008E201A"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Soft Power Strategy.</w:t>
      </w:r>
    </w:p>
    <w:p w14:paraId="7415A876"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National Space Strategy 2030.</w:t>
      </w:r>
    </w:p>
    <w:p w14:paraId="7DECA8E8"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Reading Strategy.</w:t>
      </w:r>
    </w:p>
    <w:p w14:paraId="7B18B7CD"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Investment Strategy 2031.</w:t>
      </w:r>
    </w:p>
    <w:p w14:paraId="7E50267C"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Online Child Protection Strategy – 2022.</w:t>
      </w:r>
    </w:p>
    <w:p w14:paraId="63E15C5B" w14:textId="77777777" w:rsidR="00626867"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Women’s Empowerment Strategy 2023–2031.</w:t>
      </w:r>
    </w:p>
    <w:p w14:paraId="57A0EBE5"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Sports Strategy 2031.</w:t>
      </w:r>
    </w:p>
    <w:p w14:paraId="53868C0D"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Youth Agenda 2031.</w:t>
      </w:r>
    </w:p>
    <w:p w14:paraId="6BB7C315"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Employment Strategy 2031.</w:t>
      </w:r>
    </w:p>
    <w:p w14:paraId="03C40035"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Policy for Empowerment of Emirati Women 2031.</w:t>
      </w:r>
    </w:p>
    <w:p w14:paraId="1148A33C"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Wellbeing Strategy 2031.</w:t>
      </w:r>
    </w:p>
    <w:p w14:paraId="2AAAEE32" w14:textId="77777777" w:rsidR="0067566E"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National Strategy for Artificial Intelligence 2031.</w:t>
      </w:r>
    </w:p>
    <w:p w14:paraId="7A80ACE2" w14:textId="77777777" w:rsidR="00EC7600"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Water Security Strategy 2036.</w:t>
      </w:r>
    </w:p>
    <w:p w14:paraId="35754733" w14:textId="77777777" w:rsidR="00774538"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Net Zero 2050 Strategy.</w:t>
      </w:r>
    </w:p>
    <w:p w14:paraId="6F3934FC" w14:textId="77777777" w:rsidR="00774538"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Energy Strategy 2050.</w:t>
      </w:r>
    </w:p>
    <w:p w14:paraId="00B29000" w14:textId="77777777" w:rsidR="00774538"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Food Security Strategy 2051.</w:t>
      </w:r>
    </w:p>
    <w:p w14:paraId="5D4B0B91" w14:textId="77777777" w:rsidR="00341C75"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Principles of the 50 (2071).</w:t>
      </w:r>
    </w:p>
    <w:p w14:paraId="2307A307" w14:textId="77777777" w:rsidR="004278D8"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Policy for Digital Wellbeing.</w:t>
      </w:r>
    </w:p>
    <w:p w14:paraId="77061151" w14:textId="77777777" w:rsidR="00510E8A"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UAE General Environmental Policy.</w:t>
      </w:r>
    </w:p>
    <w:p w14:paraId="3ED33F18" w14:textId="77777777" w:rsidR="008C06FE"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Strategy for Higher Education 2030.</w:t>
      </w:r>
    </w:p>
    <w:p w14:paraId="4928607F" w14:textId="77777777" w:rsidR="00D2414C"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Strategy to Attract and Retain Talent 2021.</w:t>
      </w:r>
    </w:p>
    <w:p w14:paraId="2D0ACDBE" w14:textId="77777777" w:rsidR="005678EC"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Youth Strategy.</w:t>
      </w:r>
    </w:p>
    <w:p w14:paraId="1283B131" w14:textId="77777777" w:rsidR="005678EC"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Innovation Strategy.</w:t>
      </w:r>
    </w:p>
    <w:p w14:paraId="61315CFF" w14:textId="77777777" w:rsidR="005678EC" w:rsidRPr="00421D6F" w:rsidRDefault="00000000" w:rsidP="0032468F">
      <w:pPr>
        <w:pStyle w:val="ListParagraph"/>
        <w:numPr>
          <w:ilvl w:val="0"/>
          <w:numId w:val="22"/>
        </w:numPr>
        <w:bidi w:val="0"/>
        <w:ind w:left="80" w:right="-142" w:hanging="27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lastRenderedPageBreak/>
        <w:t>Ministry of Health and Prevention Innovation Strategy.</w:t>
      </w:r>
    </w:p>
    <w:p w14:paraId="3DC98551" w14:textId="77777777" w:rsidR="005A320A" w:rsidRPr="00421D6F" w:rsidRDefault="005A320A" w:rsidP="0032468F">
      <w:pPr>
        <w:bidi w:val="0"/>
        <w:ind w:left="-640" w:right="-142"/>
        <w:rPr>
          <w:rFonts w:ascii="Times New Roman" w:eastAsia="Times New Roman" w:hAnsi="Times New Roman" w:cs="Times New Roman"/>
          <w:b/>
          <w:bCs/>
          <w:sz w:val="24"/>
          <w:szCs w:val="24"/>
          <w:u w:val="single"/>
          <w:lang w:bidi="ar-BH"/>
        </w:rPr>
      </w:pPr>
    </w:p>
    <w:p w14:paraId="770C56BB" w14:textId="77777777" w:rsidR="009D50EE"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11. Monitoring of Main Events and Achievements:</w:t>
      </w:r>
    </w:p>
    <w:p w14:paraId="2F6829C3" w14:textId="77777777" w:rsidR="00B419DC"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For the third time, the UAE earned the confidence of the international community by being elected as a member of the United Nations Human Rights Council for the term 2022–2024, following its successful candidacy in the elections held in October 2021. Through this membership, the UAE has worked alongside other member states of the Human Rights Council to promote respect for human rights worldwide and to address the various global challenges in this regard. The UAE also continued its membership in the ACHR Committee of the League of Arab States.</w:t>
      </w:r>
    </w:p>
    <w:p w14:paraId="4A16F1FC" w14:textId="77777777" w:rsidR="00924845" w:rsidRPr="00421D6F" w:rsidRDefault="00000000" w:rsidP="0032468F">
      <w:pPr>
        <w:bidi w:val="0"/>
        <w:ind w:left="-640" w:right="-142"/>
        <w:rPr>
          <w:rFonts w:ascii="Times New Roman" w:eastAsia="Times New Roman" w:hAnsi="Times New Roman" w:cs="Times New Roman"/>
          <w:sz w:val="24"/>
          <w:szCs w:val="24"/>
          <w:u w:val="single"/>
          <w:lang w:bidi="ar-BH"/>
        </w:rPr>
      </w:pPr>
      <w:r w:rsidRPr="00421D6F">
        <w:rPr>
          <w:rFonts w:ascii="Times New Roman" w:eastAsia="Times New Roman" w:hAnsi="Times New Roman" w:cs="Times New Roman"/>
          <w:sz w:val="24"/>
          <w:szCs w:val="24"/>
          <w:u w:val="single"/>
          <w:lang w:bidi="ar-BH"/>
        </w:rPr>
        <w:t>The key human rights-related events and achievements during the period covered by the UAE’s Second Periodic National Report can be summarized as follows:</w:t>
      </w:r>
    </w:p>
    <w:tbl>
      <w:tblPr>
        <w:tblStyle w:val="TableGrid"/>
        <w:tblW w:w="10320" w:type="dxa"/>
        <w:tblInd w:w="-691" w:type="dxa"/>
        <w:tblLook w:val="04A0" w:firstRow="1" w:lastRow="0" w:firstColumn="1" w:lastColumn="0" w:noHBand="0" w:noVBand="1"/>
      </w:tblPr>
      <w:tblGrid>
        <w:gridCol w:w="800"/>
        <w:gridCol w:w="9520"/>
      </w:tblGrid>
      <w:tr w:rsidR="002A4559" w:rsidRPr="00421D6F" w14:paraId="0BE232AB" w14:textId="77777777" w:rsidTr="0032468F">
        <w:tc>
          <w:tcPr>
            <w:tcW w:w="800" w:type="dxa"/>
            <w:shd w:val="clear" w:color="auto" w:fill="9CC2E5" w:themeFill="accent1" w:themeFillTint="99"/>
            <w:vAlign w:val="center"/>
          </w:tcPr>
          <w:p w14:paraId="6D4E29B6"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Year</w:t>
            </w:r>
          </w:p>
        </w:tc>
        <w:tc>
          <w:tcPr>
            <w:tcW w:w="9520" w:type="dxa"/>
            <w:shd w:val="clear" w:color="auto" w:fill="9CC2E5" w:themeFill="accent1" w:themeFillTint="99"/>
          </w:tcPr>
          <w:p w14:paraId="6AA30ACC" w14:textId="77777777" w:rsidR="00A92CC9" w:rsidRPr="00421D6F" w:rsidRDefault="00000000" w:rsidP="0032468F">
            <w:pPr>
              <w:bidi w:val="0"/>
              <w:ind w:hanging="28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Key events and achievements</w:t>
            </w:r>
          </w:p>
        </w:tc>
      </w:tr>
      <w:tr w:rsidR="002A4559" w:rsidRPr="00421D6F" w14:paraId="100DCD05" w14:textId="77777777" w:rsidTr="0032468F">
        <w:tc>
          <w:tcPr>
            <w:tcW w:w="800" w:type="dxa"/>
            <w:shd w:val="clear" w:color="auto" w:fill="DEEAF6" w:themeFill="accent1" w:themeFillTint="33"/>
            <w:vAlign w:val="center"/>
          </w:tcPr>
          <w:p w14:paraId="7FBE7593"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2019</w:t>
            </w:r>
          </w:p>
        </w:tc>
        <w:tc>
          <w:tcPr>
            <w:tcW w:w="9520" w:type="dxa"/>
          </w:tcPr>
          <w:p w14:paraId="48B19617" w14:textId="77777777" w:rsidR="00A92CC9" w:rsidRPr="00421D6F" w:rsidRDefault="00000000" w:rsidP="0032468F">
            <w:pPr>
              <w:pStyle w:val="ListParagraph"/>
              <w:numPr>
                <w:ilvl w:val="0"/>
                <w:numId w:val="13"/>
              </w:numPr>
              <w:tabs>
                <w:tab w:val="clear" w:pos="720"/>
                <w:tab w:val="num" w:pos="250"/>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Document on Human Fraternity: Abu Dhabi hosted the signing of the Document on Human Fraternity between His Holiness Pope Francis and His Eminence the Grand Imam Dr. Ahmed El-Tayeb, with the aim of promoting the values of peace and coexistence.</w:t>
            </w:r>
          </w:p>
          <w:p w14:paraId="5FD7DCC6" w14:textId="77777777" w:rsidR="00B419DC" w:rsidRPr="00421D6F" w:rsidRDefault="00000000" w:rsidP="0032468F">
            <w:pPr>
              <w:pStyle w:val="ListParagraph"/>
              <w:numPr>
                <w:ilvl w:val="0"/>
                <w:numId w:val="13"/>
              </w:numPr>
              <w:tabs>
                <w:tab w:val="clear" w:pos="720"/>
                <w:tab w:val="num" w:pos="250"/>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Launch of the Ministry of Possibilities:  The UAE established the Ministry of Possibilities, the first of its kind in the world, to develop innovative solutions to future challenges.</w:t>
            </w:r>
          </w:p>
          <w:p w14:paraId="773D91C3" w14:textId="77777777" w:rsidR="00A92CC9" w:rsidRPr="00421D6F" w:rsidRDefault="00000000" w:rsidP="0032468F">
            <w:pPr>
              <w:pStyle w:val="ListParagraph"/>
              <w:numPr>
                <w:ilvl w:val="0"/>
                <w:numId w:val="13"/>
              </w:numPr>
              <w:tabs>
                <w:tab w:val="clear" w:pos="720"/>
                <w:tab w:val="num" w:pos="250"/>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Space Mission:  Hazzaa Al-Mansoori became the first Emirati astronaut to reach the International Space Station, placing the UAE among the leading nations in space exploration. </w:t>
            </w:r>
          </w:p>
        </w:tc>
      </w:tr>
      <w:tr w:rsidR="002A4559" w:rsidRPr="00421D6F" w14:paraId="7F8EDDA2" w14:textId="77777777" w:rsidTr="0032468F">
        <w:tc>
          <w:tcPr>
            <w:tcW w:w="800" w:type="dxa"/>
            <w:shd w:val="clear" w:color="auto" w:fill="DEEAF6" w:themeFill="accent1" w:themeFillTint="33"/>
            <w:vAlign w:val="center"/>
          </w:tcPr>
          <w:p w14:paraId="7C7EF0EF"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2020</w:t>
            </w:r>
          </w:p>
        </w:tc>
        <w:tc>
          <w:tcPr>
            <w:tcW w:w="9520" w:type="dxa"/>
          </w:tcPr>
          <w:p w14:paraId="2CEE02E7" w14:textId="77777777" w:rsidR="0008026B" w:rsidRPr="00421D6F" w:rsidRDefault="00000000" w:rsidP="0032468F">
            <w:pPr>
              <w:pStyle w:val="ListParagraph"/>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Hope Probe:  In July 2020, the UAE launched the Hope Probe to Mars, marking the first Arab mission to explore the Red Planet. The probe successfully entered its orbit in February 2021.</w:t>
            </w:r>
          </w:p>
          <w:p w14:paraId="41F217FB" w14:textId="77777777" w:rsidR="00A92CC9" w:rsidRPr="00421D6F" w:rsidRDefault="00000000" w:rsidP="0032468F">
            <w:pPr>
              <w:pStyle w:val="ListParagraph"/>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Response to the COVID-19: The UAE implemented effective measures to combat the pandemic, including wide-scale vaccination campaigns, which helped mitigate its impact on society and the economy.</w:t>
            </w:r>
          </w:p>
        </w:tc>
      </w:tr>
      <w:tr w:rsidR="002A4559" w:rsidRPr="00421D6F" w14:paraId="202C1284" w14:textId="77777777" w:rsidTr="0032468F">
        <w:tc>
          <w:tcPr>
            <w:tcW w:w="800" w:type="dxa"/>
            <w:shd w:val="clear" w:color="auto" w:fill="DEEAF6" w:themeFill="accent1" w:themeFillTint="33"/>
            <w:vAlign w:val="center"/>
          </w:tcPr>
          <w:p w14:paraId="26D98DCF"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2021</w:t>
            </w:r>
          </w:p>
        </w:tc>
        <w:tc>
          <w:tcPr>
            <w:tcW w:w="9520" w:type="dxa"/>
          </w:tcPr>
          <w:p w14:paraId="0321FEB7" w14:textId="77777777" w:rsidR="00A92CC9" w:rsidRPr="00421D6F" w:rsidRDefault="00000000" w:rsidP="0032468F">
            <w:pPr>
              <w:pStyle w:val="ListParagraph"/>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established the National Human Rights Institution (NHRI).</w:t>
            </w:r>
          </w:p>
          <w:p w14:paraId="4A357504" w14:textId="77777777" w:rsidR="00A92CC9" w:rsidRPr="00421D6F" w:rsidRDefault="00000000" w:rsidP="0032468F">
            <w:pPr>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Peace Agreements: The UAE continued to strengthen its international relations by signing peace and cooperation agreements with several countries, contributing to regional stability.</w:t>
            </w:r>
          </w:p>
          <w:p w14:paraId="7FD6FFAE" w14:textId="77777777" w:rsidR="0008026B" w:rsidRPr="00421D6F" w:rsidRDefault="00000000" w:rsidP="0032468F">
            <w:pPr>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Hosting of Expo 2020 Dubai: Expo 2020 was inaugurated in October 2021, attracting broad international participation and highlighting the UAE’s role as a global hub for innovation and cooperation.</w:t>
            </w:r>
          </w:p>
          <w:p w14:paraId="761BB643" w14:textId="77777777" w:rsidR="000C08D0" w:rsidRPr="00421D6F" w:rsidRDefault="00000000" w:rsidP="0032468F">
            <w:pPr>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Largest Legislative Reform in the UAE’s History: The UAE introduced amendments to more than 40 laws covering diverse areas, including the economy, society, technology, and trade. These reforms aimed to enhance the business environment, achieve sustainable development, and align legislation with the UAE’s vision for the future.</w:t>
            </w:r>
          </w:p>
        </w:tc>
      </w:tr>
      <w:tr w:rsidR="002A4559" w:rsidRPr="00421D6F" w14:paraId="6E264EE5" w14:textId="77777777" w:rsidTr="0032468F">
        <w:tc>
          <w:tcPr>
            <w:tcW w:w="800" w:type="dxa"/>
            <w:shd w:val="clear" w:color="auto" w:fill="DEEAF6" w:themeFill="accent1" w:themeFillTint="33"/>
            <w:vAlign w:val="center"/>
          </w:tcPr>
          <w:p w14:paraId="55CF1443"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2022</w:t>
            </w:r>
          </w:p>
        </w:tc>
        <w:tc>
          <w:tcPr>
            <w:tcW w:w="9520" w:type="dxa"/>
          </w:tcPr>
          <w:p w14:paraId="04494508" w14:textId="63FDD854" w:rsidR="00A92CC9" w:rsidRPr="00421D6F" w:rsidRDefault="00000000" w:rsidP="0032468F">
            <w:pPr>
              <w:pStyle w:val="ListParagraph"/>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successfully implemented and enforced its national policies on combating money laundering and terrorism financing, resulting in its reclassification and removal from the Financial Action Task Force (FATF) “grey list</w:t>
            </w:r>
            <w:r w:rsidR="008F1419" w:rsidRPr="00421D6F">
              <w:rPr>
                <w:rFonts w:ascii="Times New Roman" w:eastAsia="Times New Roman" w:hAnsi="Times New Roman" w:cs="Times New Roman"/>
                <w:sz w:val="24"/>
                <w:szCs w:val="24"/>
              </w:rPr>
              <w:t>.”</w:t>
            </w:r>
          </w:p>
          <w:p w14:paraId="09E9EC99" w14:textId="77777777" w:rsidR="00A92CC9" w:rsidRPr="00421D6F" w:rsidRDefault="00000000" w:rsidP="0032468F">
            <w:pPr>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Barakah Nuclear Power Plant: The first Barakah plant commenced commercial operations, strengthening the UAE’s efforts to diversify its clean energy sources.</w:t>
            </w:r>
          </w:p>
        </w:tc>
      </w:tr>
      <w:tr w:rsidR="002A4559" w:rsidRPr="00421D6F" w14:paraId="22360ADB" w14:textId="77777777" w:rsidTr="0032468F">
        <w:tc>
          <w:tcPr>
            <w:tcW w:w="800" w:type="dxa"/>
            <w:shd w:val="clear" w:color="auto" w:fill="DEEAF6" w:themeFill="accent1" w:themeFillTint="33"/>
            <w:vAlign w:val="center"/>
          </w:tcPr>
          <w:p w14:paraId="4EAD9290"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2023</w:t>
            </w:r>
          </w:p>
        </w:tc>
        <w:tc>
          <w:tcPr>
            <w:tcW w:w="9520" w:type="dxa"/>
          </w:tcPr>
          <w:p w14:paraId="73DC8363" w14:textId="77777777" w:rsidR="00A92CC9" w:rsidRPr="00421D6F" w:rsidRDefault="00000000" w:rsidP="0032468F">
            <w:pPr>
              <w:pStyle w:val="ListParagraph"/>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UAE’s penal and correctional institutions received international accreditation from the American Correctional Association (ACA).</w:t>
            </w:r>
          </w:p>
          <w:p w14:paraId="6DA96E70" w14:textId="77777777" w:rsidR="00C64852" w:rsidRPr="00421D6F" w:rsidRDefault="00000000" w:rsidP="0032468F">
            <w:pPr>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COP28: The UAE hosted the United Nations Climate Change Conference (COP28), reaffirming its commitment to global environmental issues.</w:t>
            </w:r>
          </w:p>
          <w:p w14:paraId="17FEBA19" w14:textId="77777777" w:rsidR="00C64852" w:rsidRPr="00421D6F" w:rsidRDefault="00000000" w:rsidP="0032468F">
            <w:pPr>
              <w:numPr>
                <w:ilvl w:val="0"/>
                <w:numId w:val="13"/>
              </w:numPr>
              <w:tabs>
                <w:tab w:val="clear" w:pos="720"/>
                <w:tab w:val="num" w:pos="25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Infrastructure Development: The UAE inaugurated major infrastructure projects, including the National Railway Network, enhancing domestic and regional connectivity.</w:t>
            </w:r>
          </w:p>
        </w:tc>
      </w:tr>
      <w:tr w:rsidR="002A4559" w:rsidRPr="00421D6F" w14:paraId="5E772588" w14:textId="77777777" w:rsidTr="0032468F">
        <w:tc>
          <w:tcPr>
            <w:tcW w:w="800" w:type="dxa"/>
            <w:shd w:val="clear" w:color="auto" w:fill="DEEAF6" w:themeFill="accent1" w:themeFillTint="33"/>
            <w:vAlign w:val="center"/>
          </w:tcPr>
          <w:p w14:paraId="0E4B28C3" w14:textId="77777777" w:rsidR="00A92CC9" w:rsidRPr="00421D6F" w:rsidRDefault="00000000" w:rsidP="0032468F">
            <w:pPr>
              <w:bidi w:val="0"/>
              <w:jc w:val="center"/>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2024</w:t>
            </w:r>
          </w:p>
        </w:tc>
        <w:tc>
          <w:tcPr>
            <w:tcW w:w="9520" w:type="dxa"/>
          </w:tcPr>
          <w:p w14:paraId="746772F7" w14:textId="77777777" w:rsidR="00A92CC9" w:rsidRPr="00421D6F" w:rsidRDefault="00000000" w:rsidP="0032468F">
            <w:pPr>
              <w:pStyle w:val="ListParagraph"/>
              <w:numPr>
                <w:ilvl w:val="0"/>
                <w:numId w:val="14"/>
              </w:numPr>
              <w:tabs>
                <w:tab w:val="clear" w:pos="720"/>
                <w:tab w:val="num" w:pos="34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Unprecedented Floods: On 16 April, the UAE experienced the heaviest rainfall in 75 years. The country responded swiftly by allocating USD 545 million to address damages and rehabilitate </w:t>
            </w:r>
            <w:r w:rsidRPr="00421D6F">
              <w:rPr>
                <w:rFonts w:ascii="Times New Roman" w:eastAsia="Times New Roman" w:hAnsi="Times New Roman" w:cs="Times New Roman"/>
                <w:sz w:val="24"/>
                <w:szCs w:val="24"/>
              </w:rPr>
              <w:lastRenderedPageBreak/>
              <w:t>affected areas, while evacuating residents and providing free housing and food to all those affected, both citizens and residents equally and without discrimination.</w:t>
            </w:r>
          </w:p>
          <w:p w14:paraId="3FB25B6D" w14:textId="77777777" w:rsidR="00C64852" w:rsidRPr="00421D6F" w:rsidRDefault="00000000" w:rsidP="0032468F">
            <w:pPr>
              <w:pStyle w:val="ListParagraph"/>
              <w:numPr>
                <w:ilvl w:val="0"/>
                <w:numId w:val="14"/>
              </w:numPr>
              <w:tabs>
                <w:tab w:val="clear" w:pos="720"/>
                <w:tab w:val="num" w:pos="34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launched an integrated project in Dubai to develop a rainwater drainage network at a cost of AED 30 billion (USD 8.2 billion), the largest single rainwater collection project in the region.</w:t>
            </w:r>
          </w:p>
          <w:p w14:paraId="386A3B71" w14:textId="77777777" w:rsidR="005E1F5B" w:rsidRPr="00421D6F" w:rsidRDefault="00000000" w:rsidP="0032468F">
            <w:pPr>
              <w:pStyle w:val="ListParagraph"/>
              <w:numPr>
                <w:ilvl w:val="0"/>
                <w:numId w:val="14"/>
              </w:numPr>
              <w:tabs>
                <w:tab w:val="clear" w:pos="720"/>
                <w:tab w:val="num" w:pos="342"/>
              </w:tabs>
              <w:bidi w:val="0"/>
              <w:ind w:left="0" w:hanging="28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From the establishment of the Union in 1971 until mid-2024, the UAE provided AED 360 billion (USD 98 billion) in foreign aid. This assistance has played a significant role in reducing poverty, mitigating the impacts of disasters and crises, supporting economic and social development, and fostering international peace and stability.</w:t>
            </w:r>
          </w:p>
        </w:tc>
      </w:tr>
    </w:tbl>
    <w:p w14:paraId="1BE7B730" w14:textId="77777777" w:rsidR="005A320A" w:rsidRPr="00421D6F" w:rsidRDefault="005A320A" w:rsidP="0032468F">
      <w:pPr>
        <w:bidi w:val="0"/>
        <w:ind w:left="-550" w:right="-142" w:hanging="360"/>
        <w:rPr>
          <w:rFonts w:ascii="Times New Roman" w:eastAsia="Times New Roman" w:hAnsi="Times New Roman" w:cs="Times New Roman"/>
          <w:b/>
          <w:bCs/>
          <w:sz w:val="24"/>
          <w:szCs w:val="24"/>
          <w:u w:val="single"/>
          <w:lang w:bidi="ar-BH"/>
        </w:rPr>
      </w:pPr>
    </w:p>
    <w:p w14:paraId="236B6BAE" w14:textId="77777777" w:rsidR="006F24F4" w:rsidRPr="00421D6F" w:rsidRDefault="00000000" w:rsidP="0032468F">
      <w:pPr>
        <w:bidi w:val="0"/>
        <w:ind w:left="-550" w:right="-142" w:hanging="360"/>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The UAE in International Indicators 2024:</w:t>
      </w:r>
    </w:p>
    <w:p w14:paraId="6B0EB160" w14:textId="77777777" w:rsidR="00EE32A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ranked 1st regionally and 37th globally in the Rule of Law Index.</w:t>
      </w:r>
    </w:p>
    <w:p w14:paraId="2DB78E70" w14:textId="77777777" w:rsidR="00EE32A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ranked 1st regionally and 7th globally in the Gender Equality Index.</w:t>
      </w:r>
    </w:p>
    <w:p w14:paraId="75E01B27" w14:textId="77777777" w:rsidR="00EE32A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ranked 1st regionally and 26th globally in the Global Knowledge Index.</w:t>
      </w:r>
    </w:p>
    <w:p w14:paraId="317E9769" w14:textId="77777777" w:rsidR="00EE32A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ranked 1st regionally and 6th globally in the Quality of Education Index.</w:t>
      </w:r>
    </w:p>
    <w:p w14:paraId="608374E1" w14:textId="77777777" w:rsidR="00EE32A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The UAE ranked 1st regionally and 21st globally in the Corruption Perceptions Index.</w:t>
      </w:r>
    </w:p>
    <w:p w14:paraId="2E27BE7F" w14:textId="77777777" w:rsidR="00EE32A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 the Human Development Report issued by the United Nations Development Programme (UNDP), the UAE ranked 1st regionally and 37th globally in Women’s Leadership Opportunities.</w:t>
      </w:r>
    </w:p>
    <w:p w14:paraId="45C3D10C" w14:textId="77777777" w:rsidR="006F24F4"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 the Human Development Index (HDI), the UAE ranked 17th globally (0.937/1) and 1st regionally.</w:t>
      </w:r>
    </w:p>
    <w:p w14:paraId="04379B12" w14:textId="77777777" w:rsidR="006F24F4"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Transparency and Integrity Index, the UAE ranked 26th globally (68/100) and 1st regionally.</w:t>
      </w:r>
    </w:p>
    <w:p w14:paraId="6444AF9E" w14:textId="77777777" w:rsidR="006F24F4"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Global Competitiveness Index, the UAE ranked 7th globally and 1st regionally.</w:t>
      </w:r>
    </w:p>
    <w:p w14:paraId="3A123570" w14:textId="77777777" w:rsidR="00C45F4F"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Rule of Law Index, the UAE ranked 39th globally (0.64/1) and 1st regionally.</w:t>
      </w:r>
    </w:p>
    <w:p w14:paraId="6798D8E2" w14:textId="77777777" w:rsidR="00022E3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Future Opportunities Index, the UAE ranked 20th globally and 1st in the Arab world.</w:t>
      </w:r>
    </w:p>
    <w:p w14:paraId="6DC55614" w14:textId="77777777" w:rsidR="006F24F4"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Global Peace Index, the UAE ranked 53rd globally and 1st regionally.</w:t>
      </w:r>
    </w:p>
    <w:p w14:paraId="46842065" w14:textId="77777777" w:rsidR="004469FE"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In the World Happiness Report, the UAE ranked 22nd globally and 2nd regionally.</w:t>
      </w:r>
    </w:p>
    <w:p w14:paraId="55DBA885" w14:textId="77777777" w:rsidR="007F40AD"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lang w:bidi="ar-BH"/>
        </w:rPr>
        <w:t>In the Quality of Education Index, the UAE ranked 20th globally and 1st regionally.</w:t>
      </w:r>
    </w:p>
    <w:p w14:paraId="66DCCA62" w14:textId="77777777" w:rsidR="00B53FF5"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Youth Development Index, the UAE ranked 26th globally and 1st regionally.</w:t>
      </w:r>
    </w:p>
    <w:p w14:paraId="3F4D0A29" w14:textId="77777777" w:rsidR="002E108D"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Artificial Intelligence Strategy Index, the UAE ranked 36th globally and 1st regionally.</w:t>
      </w:r>
    </w:p>
    <w:p w14:paraId="098BAAB4" w14:textId="77777777" w:rsidR="002E108D"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In the Global Innovation Index, the UAE ranked 32nd globally and 1st regionally.</w:t>
      </w:r>
    </w:p>
    <w:p w14:paraId="4E206CC5" w14:textId="77777777" w:rsidR="002E108D" w:rsidRPr="00421D6F" w:rsidRDefault="00000000" w:rsidP="0032468F">
      <w:pPr>
        <w:pStyle w:val="ListParagraph"/>
        <w:numPr>
          <w:ilvl w:val="0"/>
          <w:numId w:val="23"/>
        </w:numPr>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In the Competitive Industrial Performance Index, the UAE ranked 27th globally and 1st regionally.</w:t>
      </w:r>
    </w:p>
    <w:p w14:paraId="4CF98FF1" w14:textId="77777777" w:rsidR="009D50EE" w:rsidRPr="00421D6F" w:rsidRDefault="009D50EE" w:rsidP="0032468F">
      <w:pPr>
        <w:bidi w:val="0"/>
        <w:ind w:left="-550" w:right="-142"/>
        <w:rPr>
          <w:rFonts w:ascii="Times New Roman" w:eastAsia="Times New Roman" w:hAnsi="Times New Roman" w:cs="Times New Roman"/>
          <w:sz w:val="12"/>
          <w:szCs w:val="12"/>
          <w:lang w:bidi="ar-BH"/>
        </w:rPr>
      </w:pPr>
    </w:p>
    <w:p w14:paraId="1D13EA3E" w14:textId="77777777" w:rsidR="009D50EE" w:rsidRPr="00421D6F" w:rsidRDefault="00000000" w:rsidP="0032468F">
      <w:pPr>
        <w:bidi w:val="0"/>
        <w:ind w:left="-73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12. National Response to COVID-19:</w:t>
      </w:r>
    </w:p>
    <w:p w14:paraId="200E1043" w14:textId="77777777" w:rsidR="009D50EE" w:rsidRPr="00421D6F" w:rsidRDefault="00000000" w:rsidP="0032468F">
      <w:pPr>
        <w:bidi w:val="0"/>
        <w:ind w:left="-73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COVID-19 pandemic represented a major and unprecedented challenge for countries across the world. Its negative impacts extended to many fundamental rights and freedoms guaranteed under international instruments, which oblige states to protect and respect them. Despite the efforts of the international community to provide protection and resilience against the pandemic, its consequences were profound and far-reaching, particularly for poorer countries or those less capable of confronting its challenges and repercussions. International solidarity played a key role in strengthening the global response to this pandemic and enhancing states’ ability to withstand and address its impacts.</w:t>
      </w:r>
    </w:p>
    <w:p w14:paraId="5692959B" w14:textId="77777777" w:rsidR="007E545B" w:rsidRPr="00421D6F" w:rsidRDefault="00000000" w:rsidP="0032468F">
      <w:pPr>
        <w:bidi w:val="0"/>
        <w:ind w:left="-82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was keen to strengthen its national response to the pandemic. It developed a proactive plan that anticipated all necessary requirements to confront the pandemic, placing the individual at the forefront of its priorities and attention. The UAE mobilized and provided all available resources to ensure the protection of individuals and their fundamental rights and freedoms, particularly the right to life, which remained at the top of the UAE’s priorities in addressing COVID-19.</w:t>
      </w:r>
    </w:p>
    <w:p w14:paraId="50824F26" w14:textId="77777777" w:rsidR="00D62D8D" w:rsidRPr="00421D6F" w:rsidRDefault="00000000" w:rsidP="0032468F">
      <w:pPr>
        <w:bidi w:val="0"/>
        <w:ind w:left="-82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 Through its pandemic response plans, the UAE demonstrated its strong capacity to confront risks and challenges, and its high efficiency in crisis management, while ensuring the integration and coordination of all national efforts.</w:t>
      </w:r>
    </w:p>
    <w:p w14:paraId="3223379A" w14:textId="77777777" w:rsidR="005A320A" w:rsidRPr="00421D6F" w:rsidRDefault="005A320A" w:rsidP="0032468F">
      <w:pPr>
        <w:bidi w:val="0"/>
        <w:ind w:left="-550" w:right="-142"/>
        <w:rPr>
          <w:rFonts w:ascii="Times New Roman" w:eastAsia="Times New Roman" w:hAnsi="Times New Roman" w:cs="Times New Roman"/>
          <w:sz w:val="24"/>
          <w:szCs w:val="24"/>
          <w:u w:val="single"/>
          <w:lang w:bidi="ar-BH"/>
        </w:rPr>
      </w:pPr>
    </w:p>
    <w:p w14:paraId="0C18DDC6" w14:textId="77777777" w:rsidR="00D62D8D" w:rsidRPr="00421D6F" w:rsidRDefault="00000000" w:rsidP="0032468F">
      <w:pPr>
        <w:bidi w:val="0"/>
        <w:ind w:left="-550" w:right="-142" w:hanging="360"/>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lastRenderedPageBreak/>
        <w:t>The UAE’s efforts to strengthen the national response were as follows:</w:t>
      </w:r>
    </w:p>
    <w:p w14:paraId="3100ABB4" w14:textId="77777777" w:rsidR="00CA4426" w:rsidRPr="00421D6F" w:rsidRDefault="00000000" w:rsidP="0032468F">
      <w:pPr>
        <w:pStyle w:val="ListParagraph"/>
        <w:numPr>
          <w:ilvl w:val="0"/>
          <w:numId w:val="5"/>
        </w:numPr>
        <w:bidi w:val="0"/>
        <w:ind w:left="-28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Efforts Related to the Protection of Civil Rights:</w:t>
      </w:r>
    </w:p>
    <w:p w14:paraId="01C7E9C4" w14:textId="77777777" w:rsidR="008B2228" w:rsidRPr="00421D6F" w:rsidRDefault="00000000" w:rsidP="0032468F">
      <w:pPr>
        <w:pStyle w:val="ListParagraph"/>
        <w:bidi w:val="0"/>
        <w:ind w:left="-55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has been committed to assuming a leading role in protecting and promoting respect for the civil rights of all citizens and residents of the country equally and without discrimination. It ensured the provision of preventive and curative healthcare services free of charge and without discrimination, thereby safeguarding the right to life, health, justice, equality, and other civil rights that the UAE guarantees for all individuals to enjoy. This has been pursued within a forward-looking vision based on ensuring the safety of society as a whole, and on maintaining a balanced relationship between the individual’s right to exercise and enjoy his or her rights and freedoms, and the duty and responsibility placed upon the state to safeguard the collective rights of society.</w:t>
      </w:r>
    </w:p>
    <w:p w14:paraId="6D5FC1B8" w14:textId="77777777" w:rsidR="00D62D8D" w:rsidRPr="00421D6F" w:rsidRDefault="00D62D8D" w:rsidP="0032468F">
      <w:pPr>
        <w:pStyle w:val="ListParagraph"/>
        <w:bidi w:val="0"/>
        <w:ind w:left="-280" w:right="-142"/>
        <w:rPr>
          <w:rFonts w:ascii="Times New Roman" w:eastAsia="Times New Roman" w:hAnsi="Times New Roman" w:cs="Times New Roman"/>
          <w:sz w:val="16"/>
          <w:szCs w:val="16"/>
          <w:lang w:bidi="ar-BH"/>
        </w:rPr>
      </w:pPr>
    </w:p>
    <w:p w14:paraId="0D978E8F" w14:textId="77777777" w:rsidR="002039E8" w:rsidRPr="00421D6F" w:rsidRDefault="00000000" w:rsidP="0032468F">
      <w:pPr>
        <w:pStyle w:val="ListParagraph"/>
        <w:numPr>
          <w:ilvl w:val="0"/>
          <w:numId w:val="5"/>
        </w:numPr>
        <w:bidi w:val="0"/>
        <w:ind w:left="-280" w:right="-142"/>
        <w:rPr>
          <w:rFonts w:ascii="Times New Roman" w:hAnsi="Times New Roman" w:cs="Times New Roman"/>
          <w:sz w:val="24"/>
          <w:szCs w:val="24"/>
          <w:lang w:bidi="ar-BH"/>
        </w:rPr>
      </w:pPr>
      <w:r w:rsidRPr="00421D6F">
        <w:rPr>
          <w:rFonts w:ascii="Times New Roman" w:eastAsia="Times New Roman" w:hAnsi="Times New Roman" w:cs="Times New Roman"/>
          <w:b/>
          <w:bCs/>
          <w:sz w:val="24"/>
          <w:szCs w:val="24"/>
          <w:u w:val="single"/>
          <w:lang w:bidi="ar-BH"/>
        </w:rPr>
        <w:t>Efforts Related to the Protection of Political Rights:</w:t>
      </w:r>
    </w:p>
    <w:p w14:paraId="0A44BEEC" w14:textId="77777777" w:rsidR="00D04BDC" w:rsidRPr="00421D6F" w:rsidRDefault="00000000" w:rsidP="0032468F">
      <w:pPr>
        <w:pStyle w:val="ListParagraph"/>
        <w:bidi w:val="0"/>
        <w:ind w:left="-280" w:right="-142"/>
        <w:rPr>
          <w:rFonts w:ascii="Times New Roman" w:hAnsi="Times New Roman" w:cs="Times New Roman"/>
          <w:sz w:val="24"/>
          <w:szCs w:val="24"/>
          <w:lang w:bidi="ar-BH"/>
        </w:rPr>
      </w:pPr>
      <w:r w:rsidRPr="00421D6F">
        <w:rPr>
          <w:rFonts w:ascii="Times New Roman" w:eastAsia="Times New Roman" w:hAnsi="Times New Roman" w:cs="Times New Roman"/>
          <w:sz w:val="24"/>
          <w:szCs w:val="24"/>
        </w:rPr>
        <w:t xml:space="preserve">During the COVID-19 pandemic, the UAE undertook significant efforts to ensure the protection of political rights while safeguarding public health and safety. </w:t>
      </w:r>
      <w:r w:rsidRPr="00421D6F">
        <w:rPr>
          <w:rFonts w:ascii="Times New Roman" w:eastAsia="Times New Roman" w:hAnsi="Times New Roman" w:cs="Times New Roman"/>
          <w:sz w:val="24"/>
          <w:szCs w:val="24"/>
          <w:u w:val="single"/>
        </w:rPr>
        <w:t>These efforts included several measures and initiatives, such as:</w:t>
      </w:r>
    </w:p>
    <w:p w14:paraId="0A5D1557" w14:textId="77777777" w:rsidR="00D04BDC" w:rsidRPr="00421D6F" w:rsidRDefault="00000000" w:rsidP="0032468F">
      <w:pPr>
        <w:pStyle w:val="NormalWeb"/>
        <w:numPr>
          <w:ilvl w:val="0"/>
          <w:numId w:val="24"/>
        </w:numPr>
        <w:tabs>
          <w:tab w:val="clear" w:pos="720"/>
          <w:tab w:val="num" w:pos="-10"/>
        </w:tabs>
        <w:spacing w:before="0" w:beforeAutospacing="0" w:after="0" w:afterAutospacing="0"/>
        <w:ind w:left="-10" w:hanging="270"/>
        <w:jc w:val="lowKashida"/>
        <w:rPr>
          <w:lang w:bidi="ar-BH"/>
        </w:rPr>
      </w:pPr>
      <w:r w:rsidRPr="00421D6F">
        <w:rPr>
          <w:u w:val="single"/>
          <w:lang w:bidi="ar-BH"/>
        </w:rPr>
        <w:t>Continuation of the democratic process</w:t>
      </w:r>
      <w:r w:rsidRPr="00421D6F">
        <w:rPr>
          <w:lang w:bidi="ar-BH"/>
        </w:rPr>
        <w:t>: The UAE ensured that electoral processes continued in a manner consistent with public health requirements. For example, elections were conducted using innovative technologies that enabled voter participation while minimizing the risk of infection.</w:t>
      </w:r>
    </w:p>
    <w:p w14:paraId="30086786" w14:textId="77777777" w:rsidR="00D04BDC" w:rsidRPr="00421D6F" w:rsidRDefault="00000000" w:rsidP="0032468F">
      <w:pPr>
        <w:pStyle w:val="NormalWeb"/>
        <w:numPr>
          <w:ilvl w:val="0"/>
          <w:numId w:val="24"/>
        </w:numPr>
        <w:tabs>
          <w:tab w:val="clear" w:pos="720"/>
          <w:tab w:val="num" w:pos="-10"/>
        </w:tabs>
        <w:spacing w:before="0" w:beforeAutospacing="0" w:after="0" w:afterAutospacing="0"/>
        <w:ind w:left="-10" w:hanging="270"/>
        <w:jc w:val="lowKashida"/>
        <w:rPr>
          <w:lang w:bidi="ar-BH"/>
        </w:rPr>
      </w:pPr>
      <w:r w:rsidRPr="00421D6F">
        <w:rPr>
          <w:u w:val="single"/>
          <w:lang w:bidi="ar-BH"/>
        </w:rPr>
        <w:t>Guaranteeing freedom of expression</w:t>
      </w:r>
      <w:r w:rsidRPr="00421D6F">
        <w:rPr>
          <w:lang w:bidi="ar-BH"/>
        </w:rPr>
        <w:t>:  Despite restrictions imposed on public gatherings due to the pandemic, the UAE enabled people to express their views through electronic means and digital platforms. Virtual forums and discussions were provided to engage citizens in community and political dialogue.</w:t>
      </w:r>
    </w:p>
    <w:p w14:paraId="4D784D01" w14:textId="77777777" w:rsidR="00D04BDC" w:rsidRPr="00421D6F" w:rsidRDefault="00000000" w:rsidP="0032468F">
      <w:pPr>
        <w:pStyle w:val="NormalWeb"/>
        <w:numPr>
          <w:ilvl w:val="0"/>
          <w:numId w:val="24"/>
        </w:numPr>
        <w:tabs>
          <w:tab w:val="clear" w:pos="720"/>
          <w:tab w:val="num" w:pos="-10"/>
        </w:tabs>
        <w:spacing w:before="0" w:beforeAutospacing="0" w:after="0" w:afterAutospacing="0"/>
        <w:ind w:left="-10" w:hanging="270"/>
        <w:jc w:val="lowKashida"/>
        <w:rPr>
          <w:lang w:bidi="ar-BH"/>
        </w:rPr>
      </w:pPr>
      <w:r w:rsidRPr="00421D6F">
        <w:rPr>
          <w:u w:val="single"/>
          <w:lang w:bidi="ar-BH"/>
        </w:rPr>
        <w:t>Transparency in decision-making</w:t>
      </w:r>
      <w:r w:rsidRPr="00421D6F">
        <w:rPr>
          <w:lang w:bidi="ar-BH"/>
        </w:rPr>
        <w:t>: The government ensured the provision of accurate and transparent information regarding the measures and policies adopted during the pandemic. This included regular updates and press conferences to explain the situation and new measures, thereby strengthening trust between the government and society.</w:t>
      </w:r>
    </w:p>
    <w:p w14:paraId="1B2F0A97" w14:textId="3379C030" w:rsidR="00D04BDC" w:rsidRPr="00421D6F" w:rsidRDefault="00000000" w:rsidP="0032468F">
      <w:pPr>
        <w:pStyle w:val="NormalWeb"/>
        <w:numPr>
          <w:ilvl w:val="0"/>
          <w:numId w:val="24"/>
        </w:numPr>
        <w:tabs>
          <w:tab w:val="clear" w:pos="720"/>
          <w:tab w:val="num" w:pos="-10"/>
        </w:tabs>
        <w:spacing w:before="0" w:beforeAutospacing="0" w:after="0" w:afterAutospacing="0"/>
        <w:ind w:left="-10" w:hanging="270"/>
        <w:jc w:val="lowKashida"/>
        <w:rPr>
          <w:lang w:bidi="ar-BH"/>
        </w:rPr>
      </w:pPr>
      <w:r w:rsidRPr="00421D6F">
        <w:rPr>
          <w:u w:val="single"/>
          <w:lang w:bidi="ar-BH"/>
        </w:rPr>
        <w:t>Parliamentary oversight</w:t>
      </w:r>
      <w:r w:rsidR="008F1419" w:rsidRPr="00421D6F">
        <w:rPr>
          <w:lang w:bidi="ar-BH"/>
        </w:rPr>
        <w:t>: The</w:t>
      </w:r>
      <w:r w:rsidRPr="00421D6F">
        <w:rPr>
          <w:lang w:bidi="ar-BH"/>
        </w:rPr>
        <w:t xml:space="preserve"> Federal National Council continued to hold its sessions remotely through modern technologies, ensuring the continuity of its role in oversight, accountability, and discussion of issues of concern to citizens.</w:t>
      </w:r>
    </w:p>
    <w:p w14:paraId="76B5F38E" w14:textId="77777777" w:rsidR="00D04BDC" w:rsidRPr="00421D6F" w:rsidRDefault="00000000" w:rsidP="0032468F">
      <w:pPr>
        <w:pStyle w:val="NormalWeb"/>
        <w:numPr>
          <w:ilvl w:val="0"/>
          <w:numId w:val="24"/>
        </w:numPr>
        <w:tabs>
          <w:tab w:val="clear" w:pos="720"/>
          <w:tab w:val="num" w:pos="-10"/>
        </w:tabs>
        <w:spacing w:before="0" w:beforeAutospacing="0" w:after="0" w:afterAutospacing="0"/>
        <w:ind w:left="-10" w:hanging="270"/>
        <w:jc w:val="lowKashida"/>
        <w:rPr>
          <w:lang w:bidi="ar-BH"/>
        </w:rPr>
      </w:pPr>
      <w:r w:rsidRPr="00421D6F">
        <w:rPr>
          <w:u w:val="single"/>
          <w:lang w:bidi="ar-BH"/>
        </w:rPr>
        <w:t>Legal rights and judicial assistance</w:t>
      </w:r>
      <w:r w:rsidRPr="00421D6F">
        <w:rPr>
          <w:lang w:bidi="ar-BH"/>
        </w:rPr>
        <w:t>: The UAE guaranteed the continuation of legal and judicial services while applying safety protocols, thereby protecting individuals’ political and legal rights even under exceptional circumstances.</w:t>
      </w:r>
    </w:p>
    <w:p w14:paraId="3D4D9156" w14:textId="77777777" w:rsidR="00F2700B" w:rsidRPr="00421D6F" w:rsidRDefault="00000000" w:rsidP="0032468F">
      <w:pPr>
        <w:pStyle w:val="NormalWeb"/>
        <w:numPr>
          <w:ilvl w:val="0"/>
          <w:numId w:val="24"/>
        </w:numPr>
        <w:tabs>
          <w:tab w:val="clear" w:pos="720"/>
          <w:tab w:val="num" w:pos="-10"/>
        </w:tabs>
        <w:spacing w:before="0" w:beforeAutospacing="0" w:after="0" w:afterAutospacing="0"/>
        <w:ind w:left="-10" w:hanging="270"/>
        <w:jc w:val="lowKashida"/>
        <w:rPr>
          <w:lang w:bidi="ar-BH"/>
        </w:rPr>
      </w:pPr>
      <w:r w:rsidRPr="00421D6F">
        <w:rPr>
          <w:u w:val="single"/>
          <w:lang w:bidi="ar-BH"/>
        </w:rPr>
        <w:t>Right to peaceful assembly</w:t>
      </w:r>
      <w:r w:rsidRPr="00421D6F">
        <w:rPr>
          <w:lang w:bidi="ar-BH"/>
        </w:rPr>
        <w:t>: Peaceful gatherings were allowed to continue with observance of public health and social distancing requirements, ensuring community protection while preventing the spread of the virus.</w:t>
      </w:r>
    </w:p>
    <w:p w14:paraId="63CD68BB" w14:textId="77777777" w:rsidR="003F75F8" w:rsidRPr="00421D6F" w:rsidRDefault="00000000" w:rsidP="0032468F">
      <w:pPr>
        <w:pStyle w:val="NormalWeb"/>
        <w:numPr>
          <w:ilvl w:val="0"/>
          <w:numId w:val="24"/>
        </w:numPr>
        <w:tabs>
          <w:tab w:val="clear" w:pos="720"/>
          <w:tab w:val="num" w:pos="-10"/>
        </w:tabs>
        <w:spacing w:before="0" w:beforeAutospacing="0" w:after="0" w:afterAutospacing="0"/>
        <w:ind w:left="-10" w:right="-142" w:hanging="270"/>
        <w:jc w:val="lowKashida"/>
        <w:rPr>
          <w:lang w:bidi="ar-BH"/>
        </w:rPr>
      </w:pPr>
      <w:r w:rsidRPr="00421D6F">
        <w:rPr>
          <w:u w:val="single"/>
          <w:lang w:bidi="ar-BH"/>
        </w:rPr>
        <w:t>Right to form associations</w:t>
      </w:r>
      <w:r w:rsidRPr="00421D6F">
        <w:rPr>
          <w:lang w:bidi="ar-BH"/>
        </w:rPr>
        <w:t>: The UAE maintained the continuity of the right to form associations during the pandemic, supporting community activities while ensuring compliance with precautionary measures. Virtual activities were facilitated to preserve the continuity of community and political engagement.</w:t>
      </w:r>
    </w:p>
    <w:p w14:paraId="5A37BBA1" w14:textId="77777777" w:rsidR="0063797A" w:rsidRPr="00421D6F" w:rsidRDefault="0063797A" w:rsidP="0032468F">
      <w:pPr>
        <w:pStyle w:val="NormalWeb"/>
        <w:spacing w:before="0" w:beforeAutospacing="0" w:after="0" w:afterAutospacing="0"/>
        <w:ind w:left="-280" w:right="-142"/>
        <w:jc w:val="lowKashida"/>
        <w:rPr>
          <w:lang w:bidi="ar-BH"/>
        </w:rPr>
      </w:pPr>
    </w:p>
    <w:p w14:paraId="2725E655" w14:textId="77777777" w:rsidR="00B7110B" w:rsidRPr="00421D6F" w:rsidRDefault="00000000" w:rsidP="0032468F">
      <w:pPr>
        <w:pStyle w:val="ListParagraph"/>
        <w:numPr>
          <w:ilvl w:val="0"/>
          <w:numId w:val="5"/>
        </w:numPr>
        <w:bidi w:val="0"/>
        <w:ind w:left="-280" w:right="-142"/>
        <w:rPr>
          <w:rStyle w:val="CommentReference"/>
          <w:rFonts w:ascii="Times New Roman" w:eastAsia="Times New Roman" w:hAnsi="Times New Roman" w:cs="Times New Roman"/>
          <w:sz w:val="24"/>
          <w:szCs w:val="24"/>
          <w:lang w:bidi="ar-BH"/>
        </w:rPr>
      </w:pPr>
      <w:r w:rsidRPr="00421D6F">
        <w:rPr>
          <w:rFonts w:ascii="Times New Roman" w:eastAsia="Times New Roman" w:hAnsi="Times New Roman" w:cs="Times New Roman"/>
          <w:b/>
          <w:bCs/>
          <w:sz w:val="24"/>
          <w:szCs w:val="24"/>
          <w:u w:val="single"/>
          <w:lang w:bidi="ar-BH"/>
        </w:rPr>
        <w:t>Efforts Related to the Protection of Economic Rights:</w:t>
      </w:r>
    </w:p>
    <w:p w14:paraId="7402125C" w14:textId="77777777" w:rsidR="00D04BDC" w:rsidRPr="00421D6F" w:rsidRDefault="00000000" w:rsidP="0032468F">
      <w:pPr>
        <w:pStyle w:val="ListParagraph"/>
        <w:bidi w:val="0"/>
        <w:ind w:left="-28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During the COVID-19 pandemic, the UAE adopted numerous measures to ensure the protection of individuals’ rights while safeguarding public health and community safety. </w:t>
      </w:r>
      <w:r w:rsidRPr="00421D6F">
        <w:rPr>
          <w:rFonts w:ascii="Times New Roman" w:eastAsia="Times New Roman" w:hAnsi="Times New Roman" w:cs="Times New Roman"/>
          <w:sz w:val="24"/>
          <w:szCs w:val="24"/>
          <w:u w:val="single"/>
          <w:lang w:bidi="ar-BH"/>
        </w:rPr>
        <w:t>Examples of these efforts include:</w:t>
      </w:r>
    </w:p>
    <w:p w14:paraId="0E873834" w14:textId="77777777" w:rsidR="00D04BDC" w:rsidRPr="00421D6F" w:rsidRDefault="00000000" w:rsidP="0032468F">
      <w:pPr>
        <w:pStyle w:val="ListParagraph"/>
        <w:numPr>
          <w:ilvl w:val="0"/>
          <w:numId w:val="25"/>
        </w:numPr>
        <w:tabs>
          <w:tab w:val="clear" w:pos="720"/>
          <w:tab w:val="num" w:pos="170"/>
        </w:tabs>
        <w:bidi w:val="0"/>
        <w:ind w:left="170" w:right="-142"/>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Protection of privacy and data</w:t>
      </w:r>
      <w:r w:rsidRPr="00421D6F">
        <w:rPr>
          <w:rFonts w:ascii="Times New Roman" w:eastAsia="Times New Roman" w:hAnsi="Times New Roman" w:cs="Times New Roman"/>
          <w:sz w:val="24"/>
          <w:szCs w:val="24"/>
          <w:lang w:bidi="ar-BH"/>
        </w:rPr>
        <w:t>: With the use of applications and technologies to track infections and manage the health crisis, the UAE applied strict standards to safeguard personal data privacy and prevent its misuse.</w:t>
      </w:r>
    </w:p>
    <w:p w14:paraId="7483E234" w14:textId="77777777" w:rsidR="00D04BDC" w:rsidRPr="00421D6F" w:rsidRDefault="00000000" w:rsidP="0032468F">
      <w:pPr>
        <w:pStyle w:val="ListParagraph"/>
        <w:numPr>
          <w:ilvl w:val="0"/>
          <w:numId w:val="25"/>
        </w:numPr>
        <w:tabs>
          <w:tab w:val="clear" w:pos="720"/>
          <w:tab w:val="num" w:pos="170"/>
        </w:tabs>
        <w:bidi w:val="0"/>
        <w:ind w:left="170" w:right="-142"/>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lastRenderedPageBreak/>
        <w:t>Freedom of movement with health measures</w:t>
      </w:r>
      <w:r w:rsidRPr="00421D6F">
        <w:rPr>
          <w:rFonts w:ascii="Times New Roman" w:eastAsia="Times New Roman" w:hAnsi="Times New Roman" w:cs="Times New Roman"/>
          <w:sz w:val="24"/>
          <w:szCs w:val="24"/>
          <w:lang w:bidi="ar-BH"/>
        </w:rPr>
        <w:t>: Although restrictions were imposed on movement to prevent the spread of the virus, the UAE ensured these restrictions were temporary and linked to public health necessities, while maintaining freedom of movement within the limits of protecting public health.</w:t>
      </w:r>
    </w:p>
    <w:p w14:paraId="0289D164" w14:textId="77777777" w:rsidR="00D04BDC" w:rsidRPr="00421D6F" w:rsidRDefault="00000000" w:rsidP="0032468F">
      <w:pPr>
        <w:pStyle w:val="ListParagraph"/>
        <w:numPr>
          <w:ilvl w:val="0"/>
          <w:numId w:val="25"/>
        </w:numPr>
        <w:tabs>
          <w:tab w:val="clear" w:pos="720"/>
          <w:tab w:val="num" w:pos="170"/>
        </w:tabs>
        <w:bidi w:val="0"/>
        <w:ind w:left="170" w:right="-142"/>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access information</w:t>
      </w:r>
      <w:r w:rsidRPr="00421D6F">
        <w:rPr>
          <w:rFonts w:ascii="Times New Roman" w:eastAsia="Times New Roman" w:hAnsi="Times New Roman" w:cs="Times New Roman"/>
          <w:sz w:val="24"/>
          <w:szCs w:val="24"/>
          <w:lang w:bidi="ar-BH"/>
        </w:rPr>
        <w:t>: Accurate and reliable information about the health situation and measures taken was published to guarantee individuals’ right to access information.</w:t>
      </w:r>
    </w:p>
    <w:p w14:paraId="7C329D66" w14:textId="7687896A"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life</w:t>
      </w:r>
      <w:r w:rsidR="008F1419" w:rsidRPr="00421D6F">
        <w:rPr>
          <w:rFonts w:ascii="Times New Roman" w:eastAsia="Times New Roman" w:hAnsi="Times New Roman" w:cs="Times New Roman"/>
          <w:sz w:val="24"/>
          <w:szCs w:val="24"/>
          <w:lang w:bidi="ar-BH"/>
        </w:rPr>
        <w:t>: The</w:t>
      </w:r>
      <w:r w:rsidRPr="00421D6F">
        <w:rPr>
          <w:rFonts w:ascii="Times New Roman" w:eastAsia="Times New Roman" w:hAnsi="Times New Roman" w:cs="Times New Roman"/>
          <w:sz w:val="24"/>
          <w:szCs w:val="24"/>
          <w:lang w:bidi="ar-BH"/>
        </w:rPr>
        <w:t xml:space="preserve"> safety of individuals was safeguarded through the provision of comprehensive healthcare and strict preventive measures to limit the spread of the virus.</w:t>
      </w:r>
    </w:p>
    <w:p w14:paraId="3CCD5B7A" w14:textId="1240EB37"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security</w:t>
      </w:r>
      <w:r w:rsidR="008F1419" w:rsidRPr="00421D6F">
        <w:rPr>
          <w:rFonts w:ascii="Times New Roman" w:eastAsia="Times New Roman" w:hAnsi="Times New Roman" w:cs="Times New Roman"/>
          <w:sz w:val="24"/>
          <w:szCs w:val="24"/>
          <w:lang w:bidi="ar-BH"/>
        </w:rPr>
        <w:t>: Community</w:t>
      </w:r>
      <w:r w:rsidRPr="00421D6F">
        <w:rPr>
          <w:rFonts w:ascii="Times New Roman" w:eastAsia="Times New Roman" w:hAnsi="Times New Roman" w:cs="Times New Roman"/>
          <w:sz w:val="24"/>
          <w:szCs w:val="24"/>
          <w:lang w:bidi="ar-BH"/>
        </w:rPr>
        <w:t xml:space="preserve"> security was strengthened, and measures were taken to ensure societal stability and protect individuals from risks associated with the pandemic.</w:t>
      </w:r>
    </w:p>
    <w:p w14:paraId="2D3B26D2" w14:textId="28E85CC9"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liberty</w:t>
      </w:r>
      <w:r w:rsidR="008F1419" w:rsidRPr="00421D6F">
        <w:rPr>
          <w:rFonts w:ascii="Times New Roman" w:eastAsia="Times New Roman" w:hAnsi="Times New Roman" w:cs="Times New Roman"/>
          <w:sz w:val="24"/>
          <w:szCs w:val="24"/>
          <w:lang w:bidi="ar-BH"/>
        </w:rPr>
        <w:t>: While</w:t>
      </w:r>
      <w:r w:rsidRPr="00421D6F">
        <w:rPr>
          <w:rFonts w:ascii="Times New Roman" w:eastAsia="Times New Roman" w:hAnsi="Times New Roman" w:cs="Times New Roman"/>
          <w:sz w:val="24"/>
          <w:szCs w:val="24"/>
          <w:lang w:bidi="ar-BH"/>
        </w:rPr>
        <w:t xml:space="preserve"> certain necessary health restrictions were imposed, individuals’ freedom was respected with due regard for public health.</w:t>
      </w:r>
    </w:p>
    <w:p w14:paraId="514D156A" w14:textId="77777777"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dignity and personal integrity</w:t>
      </w:r>
      <w:r w:rsidRPr="00421D6F">
        <w:rPr>
          <w:rFonts w:ascii="Times New Roman" w:eastAsia="Times New Roman" w:hAnsi="Times New Roman" w:cs="Times New Roman"/>
          <w:sz w:val="24"/>
          <w:szCs w:val="24"/>
          <w:lang w:bidi="ar-BH"/>
        </w:rPr>
        <w:t>: All individuals were treated with dignity and respect throughout health and administrative procedures, including quarantine and isolation.</w:t>
      </w:r>
    </w:p>
    <w:p w14:paraId="153B5628" w14:textId="24D72D0F"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equality</w:t>
      </w:r>
      <w:r w:rsidR="008F1419" w:rsidRPr="00421D6F">
        <w:rPr>
          <w:rFonts w:ascii="Times New Roman" w:eastAsia="Times New Roman" w:hAnsi="Times New Roman" w:cs="Times New Roman"/>
          <w:sz w:val="24"/>
          <w:szCs w:val="24"/>
          <w:lang w:bidi="ar-BH"/>
        </w:rPr>
        <w:t>: Health</w:t>
      </w:r>
      <w:r w:rsidRPr="00421D6F">
        <w:rPr>
          <w:rFonts w:ascii="Times New Roman" w:eastAsia="Times New Roman" w:hAnsi="Times New Roman" w:cs="Times New Roman"/>
          <w:sz w:val="24"/>
          <w:szCs w:val="24"/>
          <w:lang w:bidi="ar-BH"/>
        </w:rPr>
        <w:t xml:space="preserve"> services and support were provided to all segments of society without discrimination, ensuring that everyone equally enjoyed their rights.</w:t>
      </w:r>
    </w:p>
    <w:p w14:paraId="2064FD6C" w14:textId="0616F95B"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acquire nationality</w:t>
      </w:r>
      <w:r w:rsidR="008F1419" w:rsidRPr="00421D6F">
        <w:rPr>
          <w:rFonts w:ascii="Times New Roman" w:eastAsia="Times New Roman" w:hAnsi="Times New Roman" w:cs="Times New Roman"/>
          <w:sz w:val="24"/>
          <w:szCs w:val="24"/>
          <w:lang w:bidi="ar-BH"/>
        </w:rPr>
        <w:t>: Legal</w:t>
      </w:r>
      <w:r w:rsidRPr="00421D6F">
        <w:rPr>
          <w:rFonts w:ascii="Times New Roman" w:eastAsia="Times New Roman" w:hAnsi="Times New Roman" w:cs="Times New Roman"/>
          <w:sz w:val="24"/>
          <w:szCs w:val="24"/>
          <w:lang w:bidi="ar-BH"/>
        </w:rPr>
        <w:t xml:space="preserve"> procedures related to acquiring nationality and the associated rights continued without interruption.</w:t>
      </w:r>
    </w:p>
    <w:p w14:paraId="5D5AD73F" w14:textId="629709F5"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justice</w:t>
      </w:r>
      <w:r w:rsidR="008F1419" w:rsidRPr="00421D6F">
        <w:rPr>
          <w:rFonts w:ascii="Times New Roman" w:eastAsia="Times New Roman" w:hAnsi="Times New Roman" w:cs="Times New Roman"/>
          <w:sz w:val="24"/>
          <w:szCs w:val="24"/>
          <w:lang w:bidi="ar-BH"/>
        </w:rPr>
        <w:t>: Legal</w:t>
      </w:r>
      <w:r w:rsidRPr="00421D6F">
        <w:rPr>
          <w:rFonts w:ascii="Times New Roman" w:eastAsia="Times New Roman" w:hAnsi="Times New Roman" w:cs="Times New Roman"/>
          <w:sz w:val="24"/>
          <w:szCs w:val="24"/>
          <w:lang w:bidi="ar-BH"/>
        </w:rPr>
        <w:t xml:space="preserve"> and judicial services continued to be provided, ensuring access to justice even under difficult circumstances.</w:t>
      </w:r>
    </w:p>
    <w:p w14:paraId="010082E1" w14:textId="77777777" w:rsidR="00F2700B" w:rsidRPr="00421D6F" w:rsidRDefault="00000000" w:rsidP="0032468F">
      <w:pPr>
        <w:pStyle w:val="ListParagraph"/>
        <w:numPr>
          <w:ilvl w:val="0"/>
          <w:numId w:val="2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not to be subjected to torture or to cruel, inhuman, or degrading treatment or punishment</w:t>
      </w:r>
      <w:r w:rsidRPr="00421D6F">
        <w:rPr>
          <w:rFonts w:ascii="Times New Roman" w:eastAsia="Times New Roman" w:hAnsi="Times New Roman" w:cs="Times New Roman"/>
          <w:sz w:val="24"/>
          <w:szCs w:val="24"/>
          <w:lang w:bidi="ar-BH"/>
        </w:rPr>
        <w:t>: The UAE ensured that no inhumane or harsh practices were used in the implementation of health or security measures related to the pandemic.</w:t>
      </w:r>
    </w:p>
    <w:p w14:paraId="0BA98FF0" w14:textId="77777777" w:rsidR="00A21645" w:rsidRPr="00421D6F" w:rsidRDefault="00A21645" w:rsidP="0032468F">
      <w:pPr>
        <w:pStyle w:val="ListParagraph"/>
        <w:bidi w:val="0"/>
        <w:ind w:left="-280" w:right="-142"/>
        <w:rPr>
          <w:rFonts w:ascii="Times New Roman" w:eastAsia="Times New Roman" w:hAnsi="Times New Roman" w:cs="Times New Roman"/>
          <w:sz w:val="24"/>
          <w:szCs w:val="24"/>
        </w:rPr>
      </w:pPr>
    </w:p>
    <w:p w14:paraId="0303A563" w14:textId="77777777" w:rsidR="001025CF" w:rsidRPr="00421D6F" w:rsidRDefault="00000000" w:rsidP="0032468F">
      <w:pPr>
        <w:pStyle w:val="ListParagraph"/>
        <w:numPr>
          <w:ilvl w:val="0"/>
          <w:numId w:val="5"/>
        </w:numPr>
        <w:bidi w:val="0"/>
        <w:ind w:left="-28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Efforts Related to the Protection of Economic Rights:</w:t>
      </w:r>
    </w:p>
    <w:p w14:paraId="3DEC729C" w14:textId="77777777" w:rsidR="00F2700B" w:rsidRPr="00421D6F" w:rsidRDefault="00000000" w:rsidP="0032468F">
      <w:pPr>
        <w:pStyle w:val="NormalWeb"/>
        <w:spacing w:before="0" w:beforeAutospacing="0" w:after="0" w:afterAutospacing="0"/>
        <w:ind w:left="-280"/>
        <w:jc w:val="lowKashida"/>
        <w:rPr>
          <w:lang w:bidi="ar-BH"/>
        </w:rPr>
      </w:pPr>
      <w:r w:rsidRPr="00421D6F">
        <w:rPr>
          <w:lang w:bidi="ar-BH"/>
        </w:rPr>
        <w:t>During the COVID-19 pandemic, the UAE was committed to safeguarding the following economic rights:</w:t>
      </w:r>
    </w:p>
    <w:p w14:paraId="32F5B03E" w14:textId="788A53FC" w:rsidR="00EC5D4B" w:rsidRPr="00421D6F" w:rsidRDefault="00000000" w:rsidP="0032468F">
      <w:pPr>
        <w:pStyle w:val="ListParagraph"/>
        <w:numPr>
          <w:ilvl w:val="0"/>
          <w:numId w:val="15"/>
        </w:numPr>
        <w:tabs>
          <w:tab w:val="clear" w:pos="720"/>
          <w:tab w:val="num" w:pos="170"/>
        </w:tabs>
        <w:bidi w:val="0"/>
        <w:ind w:left="17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property</w:t>
      </w:r>
      <w:r w:rsidR="008F1419" w:rsidRPr="00421D6F">
        <w:rPr>
          <w:rFonts w:ascii="Times New Roman" w:eastAsia="Times New Roman" w:hAnsi="Times New Roman" w:cs="Times New Roman"/>
          <w:sz w:val="24"/>
          <w:szCs w:val="24"/>
          <w:lang w:bidi="ar-BH"/>
        </w:rPr>
        <w:t>: The</w:t>
      </w:r>
      <w:r w:rsidRPr="00421D6F">
        <w:rPr>
          <w:rFonts w:ascii="Times New Roman" w:eastAsia="Times New Roman" w:hAnsi="Times New Roman" w:cs="Times New Roman"/>
          <w:sz w:val="24"/>
          <w:szCs w:val="24"/>
          <w:lang w:bidi="ar-BH"/>
        </w:rPr>
        <w:t xml:space="preserve"> state preserved individuals’ property rights by providing financial support and tax exemptions to affected businesses and projects, thereby ensuring business continuity and protecting the assets of individuals and companies from any long-term negative impacts of the pandemic.</w:t>
      </w:r>
    </w:p>
    <w:p w14:paraId="1676F9FE" w14:textId="32B4446F" w:rsidR="00EC5D4B" w:rsidRPr="00421D6F" w:rsidRDefault="00000000" w:rsidP="0032468F">
      <w:pPr>
        <w:pStyle w:val="ListParagraph"/>
        <w:numPr>
          <w:ilvl w:val="0"/>
          <w:numId w:val="15"/>
        </w:numPr>
        <w:tabs>
          <w:tab w:val="clear" w:pos="720"/>
          <w:tab w:val="num" w:pos="170"/>
        </w:tabs>
        <w:bidi w:val="0"/>
        <w:ind w:left="170"/>
        <w:jc w:val="lowKashida"/>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lang w:bidi="ar-BH"/>
        </w:rPr>
        <w:t>Right to work</w:t>
      </w:r>
      <w:r w:rsidR="008F1419" w:rsidRPr="00421D6F">
        <w:rPr>
          <w:rFonts w:ascii="Times New Roman" w:eastAsia="Times New Roman" w:hAnsi="Times New Roman" w:cs="Times New Roman"/>
          <w:sz w:val="24"/>
          <w:szCs w:val="24"/>
          <w:lang w:bidi="ar-BH"/>
        </w:rPr>
        <w:t>: The</w:t>
      </w:r>
      <w:r w:rsidRPr="00421D6F">
        <w:rPr>
          <w:rFonts w:ascii="Times New Roman" w:eastAsia="Times New Roman" w:hAnsi="Times New Roman" w:cs="Times New Roman"/>
          <w:sz w:val="24"/>
          <w:szCs w:val="24"/>
          <w:lang w:bidi="ar-BH"/>
        </w:rPr>
        <w:t xml:space="preserve"> UAE supported the labor market by encouraging remote work policies and introducing employment support programs to protect jobs. This included subsidizing salaries in affected sectors and providing training and requalification programs to help the workforce adapt to changes in the labor market.</w:t>
      </w:r>
    </w:p>
    <w:p w14:paraId="6D6132FA" w14:textId="75FD17CA" w:rsidR="00F2700B" w:rsidRPr="00421D6F" w:rsidRDefault="00000000" w:rsidP="0032468F">
      <w:pPr>
        <w:pStyle w:val="NormalWeb"/>
        <w:numPr>
          <w:ilvl w:val="0"/>
          <w:numId w:val="15"/>
        </w:numPr>
        <w:tabs>
          <w:tab w:val="clear" w:pos="720"/>
          <w:tab w:val="num" w:pos="170"/>
        </w:tabs>
        <w:spacing w:before="0" w:beforeAutospacing="0" w:after="0" w:afterAutospacing="0"/>
        <w:ind w:left="170"/>
        <w:jc w:val="lowKashida"/>
        <w:rPr>
          <w:lang w:bidi="ar-BH"/>
        </w:rPr>
      </w:pPr>
      <w:r w:rsidRPr="00421D6F">
        <w:rPr>
          <w:u w:val="single"/>
          <w:lang w:bidi="ar-BH"/>
        </w:rPr>
        <w:t>Right to an adequate standard of living</w:t>
      </w:r>
      <w:r w:rsidR="008F1419" w:rsidRPr="00421D6F">
        <w:rPr>
          <w:lang w:bidi="ar-BH"/>
        </w:rPr>
        <w:t>: Financial</w:t>
      </w:r>
      <w:r w:rsidRPr="00421D6F">
        <w:rPr>
          <w:lang w:bidi="ar-BH"/>
        </w:rPr>
        <w:t xml:space="preserve"> support programs, tax exemptions, and initiatives to support small and medium-sized enterprises contributed to enhancing economic stability and ensuring a decent standard of living for individuals.</w:t>
      </w:r>
    </w:p>
    <w:p w14:paraId="44ED9961" w14:textId="0CDCAB77" w:rsidR="00F2700B" w:rsidRPr="00421D6F" w:rsidRDefault="00000000" w:rsidP="0032468F">
      <w:pPr>
        <w:pStyle w:val="NormalWeb"/>
        <w:numPr>
          <w:ilvl w:val="0"/>
          <w:numId w:val="15"/>
        </w:numPr>
        <w:tabs>
          <w:tab w:val="clear" w:pos="720"/>
          <w:tab w:val="num" w:pos="170"/>
        </w:tabs>
        <w:spacing w:before="0" w:beforeAutospacing="0" w:after="0" w:afterAutospacing="0"/>
        <w:ind w:left="170"/>
        <w:jc w:val="lowKashida"/>
        <w:rPr>
          <w:lang w:bidi="ar-BH"/>
        </w:rPr>
      </w:pPr>
      <w:r w:rsidRPr="00421D6F">
        <w:rPr>
          <w:u w:val="single"/>
          <w:lang w:bidi="ar-BH"/>
        </w:rPr>
        <w:t>Right to choose work and residence</w:t>
      </w:r>
      <w:r w:rsidR="008F1419" w:rsidRPr="00421D6F">
        <w:rPr>
          <w:lang w:bidi="ar-BH"/>
        </w:rPr>
        <w:t>: The</w:t>
      </w:r>
      <w:r w:rsidRPr="00421D6F">
        <w:rPr>
          <w:lang w:bidi="ar-BH"/>
        </w:rPr>
        <w:t xml:space="preserve"> state provided flexibility in remote work policies and internal mobility in line with health measures, allowing individuals to choose their workplaces and places of residence in accordance with their circumstances.</w:t>
      </w:r>
    </w:p>
    <w:p w14:paraId="6A22021E" w14:textId="77777777" w:rsidR="0063797A" w:rsidRPr="00421D6F" w:rsidRDefault="0063797A" w:rsidP="0032468F">
      <w:pPr>
        <w:pStyle w:val="NormalWeb"/>
        <w:spacing w:before="0" w:beforeAutospacing="0" w:after="0" w:afterAutospacing="0"/>
        <w:ind w:left="170"/>
        <w:jc w:val="lowKashida"/>
        <w:rPr>
          <w:lang w:bidi="ar-BH"/>
        </w:rPr>
      </w:pPr>
    </w:p>
    <w:p w14:paraId="35B8179C" w14:textId="77777777" w:rsidR="00F2700B" w:rsidRPr="00421D6F" w:rsidRDefault="00000000" w:rsidP="0032468F">
      <w:pPr>
        <w:pStyle w:val="ListParagraph"/>
        <w:numPr>
          <w:ilvl w:val="0"/>
          <w:numId w:val="5"/>
        </w:numPr>
        <w:bidi w:val="0"/>
        <w:ind w:left="-280" w:right="-142" w:hanging="270"/>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Efforts Related to the Protection of Social Rights:</w:t>
      </w:r>
    </w:p>
    <w:p w14:paraId="726E85EC" w14:textId="77777777" w:rsidR="00F2700B" w:rsidRPr="00421D6F" w:rsidRDefault="00000000" w:rsidP="0032468F">
      <w:pPr>
        <w:pStyle w:val="NormalWeb"/>
        <w:spacing w:before="0" w:beforeAutospacing="0" w:after="0" w:afterAutospacing="0"/>
        <w:ind w:left="-280"/>
        <w:rPr>
          <w:lang w:bidi="ar-BH"/>
        </w:rPr>
      </w:pPr>
      <w:r w:rsidRPr="00421D6F">
        <w:rPr>
          <w:lang w:bidi="ar-BH"/>
        </w:rPr>
        <w:t>During the COVID-19 pandemic, the UAE adopted important measures to safeguard the following family and social rights:</w:t>
      </w:r>
    </w:p>
    <w:p w14:paraId="1514AF2A" w14:textId="18F5D9A4" w:rsidR="00EC5D4B" w:rsidRPr="00421D6F" w:rsidRDefault="00000000" w:rsidP="0032468F">
      <w:pPr>
        <w:pStyle w:val="ListParagraph"/>
        <w:numPr>
          <w:ilvl w:val="0"/>
          <w:numId w:val="16"/>
        </w:numPr>
        <w:tabs>
          <w:tab w:val="clear" w:pos="720"/>
          <w:tab w:val="num" w:pos="260"/>
        </w:tabs>
        <w:bidi w:val="0"/>
        <w:ind w:left="350" w:hanging="45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an adequate standard of living, including housing and sufficient food</w:t>
      </w:r>
      <w:r w:rsidR="008F1419" w:rsidRPr="00421D6F">
        <w:rPr>
          <w:rFonts w:ascii="Times New Roman" w:eastAsia="Times New Roman" w:hAnsi="Times New Roman" w:cs="Times New Roman"/>
          <w:sz w:val="24"/>
          <w:szCs w:val="24"/>
          <w:lang w:bidi="ar-BH"/>
        </w:rPr>
        <w:t>: The</w:t>
      </w:r>
      <w:r w:rsidRPr="00421D6F">
        <w:rPr>
          <w:rFonts w:ascii="Times New Roman" w:eastAsia="Times New Roman" w:hAnsi="Times New Roman" w:cs="Times New Roman"/>
          <w:sz w:val="24"/>
          <w:szCs w:val="24"/>
          <w:lang w:bidi="ar-BH"/>
        </w:rPr>
        <w:t xml:space="preserve"> UAE provided financial support and food assistance to affected families, and ensured the continuity of adequate housing through rent and housing support policies.</w:t>
      </w:r>
    </w:p>
    <w:p w14:paraId="55909E9F" w14:textId="01E730AF" w:rsidR="00EC5D4B" w:rsidRPr="00421D6F" w:rsidRDefault="00000000" w:rsidP="0032468F">
      <w:pPr>
        <w:pStyle w:val="ListParagraph"/>
        <w:numPr>
          <w:ilvl w:val="0"/>
          <w:numId w:val="16"/>
        </w:numPr>
        <w:tabs>
          <w:tab w:val="clear" w:pos="720"/>
          <w:tab w:val="num" w:pos="260"/>
        </w:tabs>
        <w:bidi w:val="0"/>
        <w:ind w:left="350" w:hanging="45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lastRenderedPageBreak/>
        <w:t>Right to healthcare</w:t>
      </w:r>
      <w:r w:rsidR="008F1419" w:rsidRPr="00421D6F">
        <w:rPr>
          <w:rFonts w:ascii="Times New Roman" w:eastAsia="Times New Roman" w:hAnsi="Times New Roman" w:cs="Times New Roman"/>
          <w:sz w:val="24"/>
          <w:szCs w:val="24"/>
          <w:lang w:bidi="ar-BH"/>
        </w:rPr>
        <w:t>: The</w:t>
      </w:r>
      <w:r w:rsidRPr="00421D6F">
        <w:rPr>
          <w:rFonts w:ascii="Times New Roman" w:eastAsia="Times New Roman" w:hAnsi="Times New Roman" w:cs="Times New Roman"/>
          <w:sz w:val="24"/>
          <w:szCs w:val="24"/>
          <w:lang w:bidi="ar-BH"/>
        </w:rPr>
        <w:t xml:space="preserve"> UAE delivered comprehensive healthcare services to all citizens and residents, including free COVID-19 testing and treatment, while expanding healthcare infrastructure to guarantee the provision of the best medical care.</w:t>
      </w:r>
    </w:p>
    <w:p w14:paraId="282214BA" w14:textId="3BFC7168" w:rsidR="00EC5D4B" w:rsidRPr="00421D6F" w:rsidRDefault="00000000" w:rsidP="0032468F">
      <w:pPr>
        <w:pStyle w:val="ListParagraph"/>
        <w:numPr>
          <w:ilvl w:val="0"/>
          <w:numId w:val="16"/>
        </w:numPr>
        <w:tabs>
          <w:tab w:val="clear" w:pos="720"/>
          <w:tab w:val="num" w:pos="260"/>
        </w:tabs>
        <w:bidi w:val="0"/>
        <w:ind w:left="350" w:hanging="45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social security</w:t>
      </w:r>
      <w:r w:rsidR="008F1419" w:rsidRPr="00421D6F">
        <w:rPr>
          <w:rFonts w:ascii="Times New Roman" w:eastAsia="Times New Roman" w:hAnsi="Times New Roman" w:cs="Times New Roman"/>
          <w:sz w:val="24"/>
          <w:szCs w:val="24"/>
          <w:lang w:bidi="ar-BH"/>
        </w:rPr>
        <w:t>: Social</w:t>
      </w:r>
      <w:r w:rsidRPr="00421D6F">
        <w:rPr>
          <w:rFonts w:ascii="Times New Roman" w:eastAsia="Times New Roman" w:hAnsi="Times New Roman" w:cs="Times New Roman"/>
          <w:sz w:val="24"/>
          <w:szCs w:val="24"/>
          <w:lang w:bidi="ar-BH"/>
        </w:rPr>
        <w:t xml:space="preserve"> safety nets were strengthened through financial support programs and social security schemes for families and individuals, ensuring that their living conditions did not deteriorate amid the economic challenges caused by the pandemic.</w:t>
      </w:r>
    </w:p>
    <w:p w14:paraId="3E81EAAD" w14:textId="77777777" w:rsidR="007B7516" w:rsidRPr="00421D6F" w:rsidRDefault="00000000" w:rsidP="0032468F">
      <w:pPr>
        <w:pStyle w:val="ListParagraph"/>
        <w:numPr>
          <w:ilvl w:val="0"/>
          <w:numId w:val="16"/>
        </w:numPr>
        <w:tabs>
          <w:tab w:val="clear" w:pos="720"/>
          <w:tab w:val="num" w:pos="260"/>
        </w:tabs>
        <w:bidi w:val="0"/>
        <w:ind w:left="350" w:hanging="45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u w:val="single"/>
          <w:lang w:bidi="ar-BH"/>
        </w:rPr>
        <w:t>Right to form and protect the family</w:t>
      </w:r>
      <w:r w:rsidRPr="00421D6F">
        <w:rPr>
          <w:rFonts w:ascii="Times New Roman" w:eastAsia="Times New Roman" w:hAnsi="Times New Roman" w:cs="Times New Roman"/>
          <w:sz w:val="24"/>
          <w:szCs w:val="24"/>
          <w:lang w:bidi="ar-BH"/>
        </w:rPr>
        <w:t>:  The government continued to support families by providing assistance and facilities to ensure their stability, while protecting children and women within a comprehensive framework that guarantees family security and social support.</w:t>
      </w:r>
    </w:p>
    <w:p w14:paraId="1914D727" w14:textId="77777777" w:rsidR="007B7516" w:rsidRPr="00421D6F" w:rsidRDefault="007B7516" w:rsidP="0032468F">
      <w:pPr>
        <w:bidi w:val="0"/>
        <w:ind w:left="-640"/>
        <w:jc w:val="lowKashida"/>
        <w:rPr>
          <w:rFonts w:ascii="Times New Roman" w:eastAsia="Times New Roman" w:hAnsi="Times New Roman" w:cs="Times New Roman"/>
          <w:sz w:val="16"/>
          <w:szCs w:val="16"/>
          <w:lang w:bidi="ar-BH"/>
        </w:rPr>
      </w:pPr>
    </w:p>
    <w:p w14:paraId="4F8EA0A6" w14:textId="77777777" w:rsidR="0063797A" w:rsidRPr="00421D6F" w:rsidRDefault="0063797A" w:rsidP="0032468F">
      <w:pPr>
        <w:bidi w:val="0"/>
        <w:ind w:left="-640"/>
        <w:jc w:val="lowKashida"/>
        <w:rPr>
          <w:rFonts w:ascii="Times New Roman" w:eastAsia="Times New Roman" w:hAnsi="Times New Roman" w:cs="Times New Roman"/>
          <w:sz w:val="16"/>
          <w:szCs w:val="16"/>
          <w:lang w:bidi="ar-BH"/>
        </w:rPr>
      </w:pPr>
    </w:p>
    <w:p w14:paraId="2DB5E3F6" w14:textId="77777777" w:rsidR="0063797A" w:rsidRPr="00421D6F" w:rsidRDefault="0063797A" w:rsidP="0032468F">
      <w:pPr>
        <w:bidi w:val="0"/>
        <w:ind w:left="-640"/>
        <w:jc w:val="lowKashida"/>
        <w:rPr>
          <w:rFonts w:ascii="Times New Roman" w:eastAsia="Times New Roman" w:hAnsi="Times New Roman" w:cs="Times New Roman"/>
          <w:sz w:val="16"/>
          <w:szCs w:val="16"/>
          <w:lang w:bidi="ar-BH"/>
        </w:rPr>
      </w:pPr>
    </w:p>
    <w:p w14:paraId="35F71E2C" w14:textId="77777777" w:rsidR="0063797A" w:rsidRPr="00421D6F" w:rsidRDefault="0063797A" w:rsidP="0032468F">
      <w:pPr>
        <w:bidi w:val="0"/>
        <w:ind w:left="-640"/>
        <w:jc w:val="lowKashida"/>
        <w:rPr>
          <w:rFonts w:ascii="Times New Roman" w:eastAsia="Times New Roman" w:hAnsi="Times New Roman" w:cs="Times New Roman"/>
          <w:sz w:val="16"/>
          <w:szCs w:val="16"/>
          <w:lang w:bidi="ar-BH"/>
        </w:rPr>
      </w:pPr>
    </w:p>
    <w:p w14:paraId="644D5499" w14:textId="77777777" w:rsidR="0063797A" w:rsidRPr="00421D6F" w:rsidRDefault="0063797A" w:rsidP="0032468F">
      <w:pPr>
        <w:bidi w:val="0"/>
        <w:ind w:left="-640"/>
        <w:jc w:val="lowKashida"/>
        <w:rPr>
          <w:rFonts w:ascii="Times New Roman" w:eastAsia="Times New Roman" w:hAnsi="Times New Roman" w:cs="Times New Roman"/>
          <w:sz w:val="16"/>
          <w:szCs w:val="16"/>
          <w:lang w:bidi="ar-BH"/>
        </w:rPr>
      </w:pPr>
    </w:p>
    <w:p w14:paraId="05B370E4" w14:textId="77777777" w:rsidR="0063797A" w:rsidRPr="00421D6F" w:rsidRDefault="0063797A" w:rsidP="0032468F">
      <w:pPr>
        <w:bidi w:val="0"/>
        <w:ind w:left="-640"/>
        <w:jc w:val="lowKashida"/>
        <w:rPr>
          <w:rFonts w:ascii="Times New Roman" w:eastAsia="Times New Roman" w:hAnsi="Times New Roman" w:cs="Times New Roman"/>
          <w:sz w:val="16"/>
          <w:szCs w:val="16"/>
          <w:lang w:bidi="ar-BH"/>
        </w:rPr>
      </w:pPr>
    </w:p>
    <w:p w14:paraId="4FFE7F3E" w14:textId="77777777" w:rsidR="00A319F6" w:rsidRPr="00421D6F" w:rsidRDefault="00000000" w:rsidP="0032468F">
      <w:pPr>
        <w:pStyle w:val="ListParagraph"/>
        <w:numPr>
          <w:ilvl w:val="0"/>
          <w:numId w:val="5"/>
        </w:numPr>
        <w:bidi w:val="0"/>
        <w:ind w:left="-280" w:hanging="35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b/>
          <w:bCs/>
          <w:sz w:val="24"/>
          <w:szCs w:val="24"/>
          <w:u w:val="single"/>
          <w:lang w:bidi="ar-BH"/>
        </w:rPr>
        <w:t>Efforts Related to the Protection of Cultural Rights:</w:t>
      </w:r>
    </w:p>
    <w:p w14:paraId="71645200" w14:textId="77777777" w:rsidR="00EC5D4B" w:rsidRPr="00421D6F" w:rsidRDefault="00000000" w:rsidP="0032468F">
      <w:pPr>
        <w:pStyle w:val="NormalWeb"/>
        <w:spacing w:before="0" w:beforeAutospacing="0" w:after="0" w:afterAutospacing="0"/>
        <w:ind w:left="-280"/>
        <w:jc w:val="lowKashida"/>
        <w:rPr>
          <w:lang w:bidi="ar-BH"/>
        </w:rPr>
      </w:pPr>
      <w:r w:rsidRPr="00421D6F">
        <w:rPr>
          <w:lang w:bidi="ar-BH"/>
        </w:rPr>
        <w:t xml:space="preserve">During the COVID-19 pandemic, the UAE </w:t>
      </w:r>
      <w:r w:rsidRPr="00421D6F">
        <w:rPr>
          <w:u w:val="single"/>
          <w:lang w:bidi="ar-BH"/>
        </w:rPr>
        <w:t>was committed to safeguarding and promoting the following rights:</w:t>
      </w:r>
    </w:p>
    <w:p w14:paraId="30AABA18" w14:textId="741BF6DD" w:rsidR="00EC5D4B" w:rsidRPr="00421D6F" w:rsidRDefault="00000000" w:rsidP="0032468F">
      <w:pPr>
        <w:pStyle w:val="NormalWeb"/>
        <w:numPr>
          <w:ilvl w:val="0"/>
          <w:numId w:val="17"/>
        </w:numPr>
        <w:tabs>
          <w:tab w:val="clear" w:pos="720"/>
          <w:tab w:val="num" w:pos="440"/>
        </w:tabs>
        <w:spacing w:before="0" w:beforeAutospacing="0" w:after="0" w:afterAutospacing="0"/>
        <w:ind w:left="440"/>
        <w:jc w:val="lowKashida"/>
        <w:rPr>
          <w:lang w:bidi="ar-BH"/>
        </w:rPr>
      </w:pPr>
      <w:r w:rsidRPr="00421D6F">
        <w:rPr>
          <w:u w:val="single"/>
          <w:lang w:bidi="ar-BH"/>
        </w:rPr>
        <w:t>Right to knowledge</w:t>
      </w:r>
      <w:r w:rsidR="008F1419" w:rsidRPr="00421D6F">
        <w:rPr>
          <w:lang w:bidi="ar-BH"/>
        </w:rPr>
        <w:t>: The</w:t>
      </w:r>
      <w:r w:rsidRPr="00421D6F">
        <w:rPr>
          <w:lang w:bidi="ar-BH"/>
        </w:rPr>
        <w:t xml:space="preserve"> UAE ensured the provision of accurate and transparent information on the developments of the pandemic and the measures adopted to confront it. Regular updates were delivered through the media and official platforms to guarantee that everyone had the knowledge necessary to protect themselves and society.</w:t>
      </w:r>
    </w:p>
    <w:p w14:paraId="20B1FA5F" w14:textId="2906BA44" w:rsidR="00EC5D4B" w:rsidRPr="00421D6F" w:rsidRDefault="00000000" w:rsidP="0032468F">
      <w:pPr>
        <w:pStyle w:val="NormalWeb"/>
        <w:numPr>
          <w:ilvl w:val="0"/>
          <w:numId w:val="17"/>
        </w:numPr>
        <w:tabs>
          <w:tab w:val="clear" w:pos="720"/>
          <w:tab w:val="num" w:pos="440"/>
        </w:tabs>
        <w:spacing w:before="0" w:beforeAutospacing="0" w:after="0" w:afterAutospacing="0"/>
        <w:ind w:left="440"/>
        <w:jc w:val="lowKashida"/>
        <w:rPr>
          <w:lang w:bidi="ar-BH"/>
        </w:rPr>
      </w:pPr>
      <w:r w:rsidRPr="00421D6F">
        <w:rPr>
          <w:u w:val="single"/>
          <w:lang w:bidi="ar-BH"/>
        </w:rPr>
        <w:t>Right to education</w:t>
      </w:r>
      <w:r w:rsidR="008F1419" w:rsidRPr="00421D6F">
        <w:rPr>
          <w:lang w:bidi="ar-BH"/>
        </w:rPr>
        <w:t>: The</w:t>
      </w:r>
      <w:r w:rsidRPr="00421D6F">
        <w:rPr>
          <w:lang w:bidi="ar-BH"/>
        </w:rPr>
        <w:t xml:space="preserve"> UAE continued to guarantee the right to education through the transition to e-learning and the adoption of modern technologies to ensure the continuity of the educational process at all levels. Support was also provided to families and students to ensure effective participation in distance learning.</w:t>
      </w:r>
    </w:p>
    <w:p w14:paraId="66DEC535" w14:textId="4FB367E5" w:rsidR="007B7516" w:rsidRPr="00421D6F" w:rsidRDefault="00000000" w:rsidP="0032468F">
      <w:pPr>
        <w:pStyle w:val="NormalWeb"/>
        <w:numPr>
          <w:ilvl w:val="0"/>
          <w:numId w:val="17"/>
        </w:numPr>
        <w:tabs>
          <w:tab w:val="clear" w:pos="720"/>
          <w:tab w:val="num" w:pos="440"/>
        </w:tabs>
        <w:spacing w:before="0" w:beforeAutospacing="0" w:after="0" w:afterAutospacing="0"/>
        <w:ind w:left="440"/>
        <w:jc w:val="lowKashida"/>
        <w:rPr>
          <w:lang w:bidi="ar-BH"/>
        </w:rPr>
      </w:pPr>
      <w:r w:rsidRPr="00421D6F">
        <w:rPr>
          <w:u w:val="single"/>
          <w:lang w:bidi="ar-BH"/>
        </w:rPr>
        <w:t>Right to cultural participation</w:t>
      </w:r>
      <w:r w:rsidR="008F1419" w:rsidRPr="00421D6F">
        <w:rPr>
          <w:lang w:bidi="ar-BH"/>
        </w:rPr>
        <w:t>: Despite</w:t>
      </w:r>
      <w:r w:rsidRPr="00421D6F">
        <w:rPr>
          <w:lang w:bidi="ar-BH"/>
        </w:rPr>
        <w:t xml:space="preserve"> the restrictions imposed by the pandemic, the UAE promoted virtual cultural activities, such as organizing online art exhibitions and cultural events, to ensure the continuity of cultural participation and to provide individuals with opportunities to safely engage in cultural life.</w:t>
      </w:r>
    </w:p>
    <w:p w14:paraId="0B407306" w14:textId="77777777" w:rsidR="0063797A" w:rsidRPr="00421D6F" w:rsidRDefault="0063797A" w:rsidP="0032468F">
      <w:pPr>
        <w:pStyle w:val="NormalWeb"/>
        <w:spacing w:before="0" w:beforeAutospacing="0" w:after="0" w:afterAutospacing="0"/>
        <w:ind w:left="440"/>
        <w:jc w:val="lowKashida"/>
        <w:rPr>
          <w:lang w:bidi="ar-BH"/>
        </w:rPr>
      </w:pPr>
    </w:p>
    <w:p w14:paraId="42896ED1" w14:textId="5BAD5740" w:rsidR="00EC5D4B" w:rsidRPr="00421D6F" w:rsidRDefault="00000000" w:rsidP="0032468F">
      <w:pPr>
        <w:pStyle w:val="ListParagraph"/>
        <w:numPr>
          <w:ilvl w:val="0"/>
          <w:numId w:val="5"/>
        </w:numPr>
        <w:bidi w:val="0"/>
        <w:ind w:left="-280" w:hanging="350"/>
        <w:jc w:val="lowKashida"/>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 xml:space="preserve">Other Rights: The UAE also </w:t>
      </w:r>
      <w:r w:rsidR="008F1419" w:rsidRPr="00421D6F">
        <w:rPr>
          <w:rFonts w:ascii="Times New Roman" w:eastAsia="Times New Roman" w:hAnsi="Times New Roman" w:cs="Times New Roman"/>
          <w:b/>
          <w:bCs/>
          <w:sz w:val="24"/>
          <w:szCs w:val="24"/>
          <w:lang w:bidi="ar-BH"/>
        </w:rPr>
        <w:t>paid</w:t>
      </w:r>
      <w:r w:rsidRPr="00421D6F">
        <w:rPr>
          <w:rFonts w:ascii="Times New Roman" w:eastAsia="Times New Roman" w:hAnsi="Times New Roman" w:cs="Times New Roman"/>
          <w:b/>
          <w:bCs/>
          <w:sz w:val="24"/>
          <w:szCs w:val="24"/>
          <w:lang w:bidi="ar-BH"/>
        </w:rPr>
        <w:t xml:space="preserve"> attention to protecting and promoting the following rights:</w:t>
      </w:r>
    </w:p>
    <w:p w14:paraId="2D6D2643" w14:textId="4FBB5A54" w:rsidR="00EC5D4B" w:rsidRPr="00421D6F" w:rsidRDefault="00000000" w:rsidP="0032468F">
      <w:pPr>
        <w:pStyle w:val="NormalWeb"/>
        <w:numPr>
          <w:ilvl w:val="0"/>
          <w:numId w:val="18"/>
        </w:numPr>
        <w:tabs>
          <w:tab w:val="clear" w:pos="720"/>
          <w:tab w:val="num" w:pos="260"/>
        </w:tabs>
        <w:spacing w:before="0" w:beforeAutospacing="0" w:after="0" w:afterAutospacing="0"/>
        <w:ind w:left="260" w:hanging="270"/>
        <w:jc w:val="lowKashida"/>
        <w:rPr>
          <w:lang w:bidi="ar-BH"/>
        </w:rPr>
      </w:pPr>
      <w:r w:rsidRPr="00421D6F">
        <w:rPr>
          <w:u w:val="single"/>
          <w:lang w:bidi="ar-BH"/>
        </w:rPr>
        <w:t xml:space="preserve">Right to a clean environment free of </w:t>
      </w:r>
      <w:r w:rsidR="008F1419" w:rsidRPr="00421D6F">
        <w:rPr>
          <w:u w:val="single"/>
          <w:lang w:bidi="ar-BH"/>
        </w:rPr>
        <w:t>pollution</w:t>
      </w:r>
      <w:r w:rsidR="008F1419" w:rsidRPr="00421D6F">
        <w:rPr>
          <w:lang w:bidi="ar-BH"/>
        </w:rPr>
        <w:t>: The</w:t>
      </w:r>
      <w:r w:rsidRPr="00421D6F">
        <w:rPr>
          <w:lang w:bidi="ar-BH"/>
        </w:rPr>
        <w:t xml:space="preserve"> UAE implemented systematic and targeted sterilization programs for public areas, roads, and means of transport to maintain the cleanliness of public spaces without causing long-term environmental harm. It also strengthened its environmental initiatives during the pandemic by reducing polluting industrial activities and enhancing eco-friendly programs</w:t>
      </w:r>
      <w:r w:rsidR="008F1419" w:rsidRPr="00421D6F">
        <w:rPr>
          <w:lang w:bidi="ar-BH"/>
        </w:rPr>
        <w:t xml:space="preserve">. </w:t>
      </w:r>
      <w:r w:rsidRPr="00421D6F">
        <w:rPr>
          <w:lang w:bidi="ar-BH"/>
        </w:rPr>
        <w:t>The UAE took advantage of the period of economic slowdown to reassess its sustainable development strategies and ensure a balance between development and environmental protection.</w:t>
      </w:r>
    </w:p>
    <w:p w14:paraId="4F61A61D" w14:textId="67B4561E" w:rsidR="00EC5D4B" w:rsidRPr="00421D6F" w:rsidRDefault="00000000" w:rsidP="0032468F">
      <w:pPr>
        <w:pStyle w:val="NormalWeb"/>
        <w:numPr>
          <w:ilvl w:val="0"/>
          <w:numId w:val="18"/>
        </w:numPr>
        <w:tabs>
          <w:tab w:val="clear" w:pos="720"/>
          <w:tab w:val="num" w:pos="260"/>
        </w:tabs>
        <w:spacing w:before="0" w:beforeAutospacing="0" w:after="0" w:afterAutospacing="0"/>
        <w:ind w:left="260" w:hanging="270"/>
        <w:jc w:val="lowKashida"/>
        <w:rPr>
          <w:lang w:bidi="ar-BH"/>
        </w:rPr>
      </w:pPr>
      <w:r w:rsidRPr="00421D6F">
        <w:rPr>
          <w:b/>
          <w:bCs/>
          <w:u w:val="single"/>
          <w:lang w:bidi="ar-BH"/>
        </w:rPr>
        <w:t>Right to development</w:t>
      </w:r>
      <w:r w:rsidR="008F1419" w:rsidRPr="00421D6F">
        <w:rPr>
          <w:b/>
          <w:bCs/>
          <w:lang w:bidi="ar-BH"/>
        </w:rPr>
        <w:t xml:space="preserve">: </w:t>
      </w:r>
      <w:r w:rsidR="008F1419" w:rsidRPr="00421D6F">
        <w:rPr>
          <w:lang w:bidi="ar-BH"/>
        </w:rPr>
        <w:t>The</w:t>
      </w:r>
      <w:r w:rsidRPr="00421D6F">
        <w:rPr>
          <w:lang w:bidi="ar-BH"/>
        </w:rPr>
        <w:t xml:space="preserve"> UAE ensured the continuation of its economic and social development plans despite the challenges of the pandemic, by supporting innovation and technology and encouraging investment in sustainable sectors and infrastructure, thereby guaranteeing continued progress and the well-being of society.</w:t>
      </w:r>
    </w:p>
    <w:p w14:paraId="702E9534" w14:textId="1DCE8C19" w:rsidR="00EC5D4B" w:rsidRPr="00421D6F" w:rsidRDefault="00000000" w:rsidP="0032468F">
      <w:pPr>
        <w:pStyle w:val="NormalWeb"/>
        <w:numPr>
          <w:ilvl w:val="0"/>
          <w:numId w:val="18"/>
        </w:numPr>
        <w:tabs>
          <w:tab w:val="clear" w:pos="720"/>
          <w:tab w:val="num" w:pos="260"/>
        </w:tabs>
        <w:spacing w:before="0" w:beforeAutospacing="0" w:after="0" w:afterAutospacing="0"/>
        <w:ind w:left="260" w:hanging="270"/>
        <w:jc w:val="lowKashida"/>
      </w:pPr>
      <w:r w:rsidRPr="00421D6F">
        <w:rPr>
          <w:b/>
          <w:bCs/>
          <w:u w:val="single"/>
          <w:lang w:bidi="ar-BH"/>
        </w:rPr>
        <w:t>Right to peace</w:t>
      </w:r>
      <w:r w:rsidR="008F1419" w:rsidRPr="00421D6F">
        <w:rPr>
          <w:b/>
          <w:bCs/>
          <w:lang w:bidi="ar-BH"/>
        </w:rPr>
        <w:t>:</w:t>
      </w:r>
      <w:r w:rsidR="008F1419" w:rsidRPr="00421D6F">
        <w:rPr>
          <w:lang w:bidi="ar-BH"/>
        </w:rPr>
        <w:t xml:space="preserve"> The</w:t>
      </w:r>
      <w:r w:rsidRPr="00421D6F">
        <w:rPr>
          <w:lang w:bidi="ar-BH"/>
        </w:rPr>
        <w:t xml:space="preserve"> UAE continued its efforts to promote both domestic and external peace by supporting social stability within the state and ensuring the continuity of community security</w:t>
      </w:r>
      <w:r w:rsidR="008F1419" w:rsidRPr="00421D6F">
        <w:rPr>
          <w:lang w:bidi="ar-BH"/>
        </w:rPr>
        <w:t xml:space="preserve">. </w:t>
      </w:r>
      <w:r w:rsidRPr="00421D6F">
        <w:rPr>
          <w:lang w:bidi="ar-BH"/>
        </w:rPr>
        <w:t>It also played a diplomatic role in fostering regional and international peace through participation in humanitarian and diplomatic initiatives aimed at strengthening understanding and cooperation among states.</w:t>
      </w:r>
    </w:p>
    <w:p w14:paraId="461ED098" w14:textId="77777777" w:rsidR="0063797A" w:rsidRPr="00421D6F" w:rsidRDefault="0063797A" w:rsidP="0032468F">
      <w:pPr>
        <w:bidi w:val="0"/>
        <w:ind w:left="-280" w:right="-142"/>
        <w:rPr>
          <w:rFonts w:ascii="Times New Roman" w:eastAsia="Times New Roman" w:hAnsi="Times New Roman" w:cs="Times New Roman"/>
          <w:b/>
          <w:bCs/>
          <w:sz w:val="24"/>
          <w:szCs w:val="24"/>
          <w:lang w:bidi="ar-BH"/>
        </w:rPr>
      </w:pPr>
    </w:p>
    <w:p w14:paraId="273535DB" w14:textId="77777777" w:rsidR="00A5567F" w:rsidRPr="00421D6F" w:rsidRDefault="00000000" w:rsidP="0032468F">
      <w:pPr>
        <w:bidi w:val="0"/>
        <w:ind w:left="-640" w:right="-142"/>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lastRenderedPageBreak/>
        <w:t>The UAE’s most notable efforts to strengthen national and community initiatives in response to the COVID-19 pandemic at the national level included:</w:t>
      </w:r>
    </w:p>
    <w:p w14:paraId="3F5FD5D8" w14:textId="77777777" w:rsidR="000C0218" w:rsidRPr="00421D6F" w:rsidRDefault="00000000" w:rsidP="0032468F">
      <w:pPr>
        <w:pStyle w:val="ListParagraph"/>
        <w:numPr>
          <w:ilvl w:val="0"/>
          <w:numId w:val="26"/>
        </w:numPr>
        <w:tabs>
          <w:tab w:val="clear" w:pos="720"/>
          <w:tab w:val="num" w:pos="350"/>
        </w:tabs>
        <w:bidi w:val="0"/>
        <w:ind w:left="35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rPr>
        <w:t>Emirates Humanitarian City</w:t>
      </w:r>
      <w:r w:rsidRPr="00421D6F">
        <w:rPr>
          <w:rFonts w:ascii="Times New Roman" w:eastAsia="Times New Roman" w:hAnsi="Times New Roman" w:cs="Times New Roman"/>
          <w:sz w:val="24"/>
          <w:szCs w:val="24"/>
        </w:rPr>
        <w:t>: The UAE evacuated nationals of friendly countries from Hubei Province, China, at the request of their governments, and hosted them at Emirates Humanitarian City, providing the necessary medical tests and meeting all their needs.</w:t>
      </w:r>
    </w:p>
    <w:p w14:paraId="5A9B9DA7" w14:textId="77777777" w:rsidR="00A5567F" w:rsidRPr="00421D6F" w:rsidRDefault="00000000" w:rsidP="0032468F">
      <w:pPr>
        <w:pStyle w:val="ListParagraph"/>
        <w:numPr>
          <w:ilvl w:val="0"/>
          <w:numId w:val="26"/>
        </w:numPr>
        <w:tabs>
          <w:tab w:val="clear" w:pos="720"/>
          <w:tab w:val="num" w:pos="350"/>
        </w:tabs>
        <w:bidi w:val="0"/>
        <w:ind w:left="35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rPr>
        <w:t>The Fund of the United Arab Emirates: Homeland of Humanity</w:t>
      </w:r>
      <w:r w:rsidRPr="00421D6F">
        <w:rPr>
          <w:rFonts w:ascii="Times New Roman" w:eastAsia="Times New Roman" w:hAnsi="Times New Roman" w:cs="Times New Roman"/>
          <w:sz w:val="24"/>
          <w:szCs w:val="24"/>
        </w:rPr>
        <w:t>: An initiative launched by the National Emergency Crisis and Disasters Management Authority in cooperation with the Emirates Red Crescent, and in partnership with civil society institutions and humanitarian associations and organizations, aimed at enhancing material contributions to combat the COVID-19 pandemic.</w:t>
      </w:r>
    </w:p>
    <w:p w14:paraId="1EFBF5DF" w14:textId="77777777" w:rsidR="00A5567F" w:rsidRPr="00421D6F" w:rsidRDefault="00000000" w:rsidP="0032468F">
      <w:pPr>
        <w:pStyle w:val="ListParagraph"/>
        <w:numPr>
          <w:ilvl w:val="0"/>
          <w:numId w:val="26"/>
        </w:numPr>
        <w:tabs>
          <w:tab w:val="clear" w:pos="720"/>
          <w:tab w:val="num" w:pos="350"/>
        </w:tabs>
        <w:bidi w:val="0"/>
        <w:ind w:left="35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rPr>
        <w:t>Together We Are Good Program</w:t>
      </w:r>
      <w:r w:rsidRPr="00421D6F">
        <w:rPr>
          <w:rFonts w:ascii="Times New Roman" w:eastAsia="Times New Roman" w:hAnsi="Times New Roman" w:cs="Times New Roman"/>
          <w:sz w:val="24"/>
          <w:szCs w:val="24"/>
        </w:rPr>
        <w:t>: An initiative of the Authority of Social Contribution – Ma’an, designed to strengthen financial and volunteer contributions to address the health, economic, food, and educational challenges posed by the pandemic in the UAE.</w:t>
      </w:r>
    </w:p>
    <w:p w14:paraId="43143C8F" w14:textId="77777777" w:rsidR="0077645C" w:rsidRPr="00421D6F" w:rsidRDefault="00000000" w:rsidP="0032468F">
      <w:pPr>
        <w:pStyle w:val="ListParagraph"/>
        <w:numPr>
          <w:ilvl w:val="0"/>
          <w:numId w:val="26"/>
        </w:numPr>
        <w:tabs>
          <w:tab w:val="clear" w:pos="720"/>
          <w:tab w:val="num" w:pos="350"/>
        </w:tabs>
        <w:bidi w:val="0"/>
        <w:ind w:left="35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rPr>
        <w:t>Community Solidarity Fund Against COVID-19</w:t>
      </w:r>
      <w:r w:rsidRPr="00421D6F">
        <w:rPr>
          <w:rFonts w:ascii="Times New Roman" w:eastAsia="Times New Roman" w:hAnsi="Times New Roman" w:cs="Times New Roman"/>
          <w:sz w:val="24"/>
          <w:szCs w:val="24"/>
        </w:rPr>
        <w:t>: An initiative of the Islamic Affairs and Charitable Activities Department to support national efforts to combat the pandemic, cover treatment and healthcare costs, and enhance community prevention.</w:t>
      </w:r>
    </w:p>
    <w:p w14:paraId="7A641DE6" w14:textId="77777777" w:rsidR="00AD3BAC" w:rsidRPr="00421D6F" w:rsidRDefault="00000000" w:rsidP="0032468F">
      <w:pPr>
        <w:pStyle w:val="ListParagraph"/>
        <w:numPr>
          <w:ilvl w:val="0"/>
          <w:numId w:val="26"/>
        </w:numPr>
        <w:tabs>
          <w:tab w:val="clear" w:pos="720"/>
          <w:tab w:val="num" w:pos="350"/>
        </w:tabs>
        <w:bidi w:val="0"/>
        <w:ind w:left="35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rPr>
        <w:t>Expansion of medical infrastructure</w:t>
      </w:r>
      <w:r w:rsidRPr="00421D6F">
        <w:rPr>
          <w:rFonts w:ascii="Times New Roman" w:eastAsia="Times New Roman" w:hAnsi="Times New Roman" w:cs="Times New Roman"/>
          <w:sz w:val="24"/>
          <w:szCs w:val="24"/>
        </w:rPr>
        <w:t>: The UAE significantly expanded its healthcare capacity by establishing field hospitals, screening centers, and mobile clinics, which accelerated the pace of both national and international response.</w:t>
      </w:r>
    </w:p>
    <w:p w14:paraId="6DDC0C98" w14:textId="77777777" w:rsidR="00AD3BAC" w:rsidRPr="00421D6F" w:rsidRDefault="00000000" w:rsidP="0032468F">
      <w:pPr>
        <w:pStyle w:val="ListParagraph"/>
        <w:numPr>
          <w:ilvl w:val="0"/>
          <w:numId w:val="26"/>
        </w:numPr>
        <w:tabs>
          <w:tab w:val="clear" w:pos="720"/>
          <w:tab w:val="num" w:pos="350"/>
        </w:tabs>
        <w:bidi w:val="0"/>
        <w:ind w:left="35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u w:val="single"/>
        </w:rPr>
        <w:t>Development of digital applications</w:t>
      </w:r>
      <w:r w:rsidRPr="00421D6F">
        <w:rPr>
          <w:rFonts w:ascii="Times New Roman" w:eastAsia="Times New Roman" w:hAnsi="Times New Roman" w:cs="Times New Roman"/>
          <w:sz w:val="24"/>
          <w:szCs w:val="24"/>
        </w:rPr>
        <w:t xml:space="preserve">: The UAE deployed technology to assist in tracking infections and controlling the spread of the virus, including contact-tracing apps and health advisory platforms. </w:t>
      </w:r>
    </w:p>
    <w:p w14:paraId="2DDC0FCB" w14:textId="77777777" w:rsidR="008E2282" w:rsidRPr="00421D6F" w:rsidRDefault="008E2282" w:rsidP="0032468F">
      <w:pPr>
        <w:bidi w:val="0"/>
        <w:ind w:left="-460" w:right="-142"/>
        <w:rPr>
          <w:rFonts w:ascii="Times New Roman" w:eastAsia="Times New Roman" w:hAnsi="Times New Roman" w:cs="Times New Roman"/>
          <w:sz w:val="24"/>
          <w:szCs w:val="24"/>
          <w:lang w:bidi="ar-BH"/>
        </w:rPr>
      </w:pPr>
    </w:p>
    <w:p w14:paraId="6E5699DD" w14:textId="77777777" w:rsidR="0077645C" w:rsidRPr="00421D6F" w:rsidRDefault="00000000" w:rsidP="0032468F">
      <w:pPr>
        <w:bidi w:val="0"/>
        <w:ind w:left="-460" w:right="-142"/>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The UAE’s most notable regional and international achievements in strengthening the global response to the COVID-19 pandemic included:</w:t>
      </w:r>
    </w:p>
    <w:p w14:paraId="0B599931" w14:textId="77777777" w:rsidR="00A5567F" w:rsidRPr="00421D6F" w:rsidRDefault="00000000" w:rsidP="0032468F">
      <w:pPr>
        <w:pStyle w:val="ListParagraph"/>
        <w:numPr>
          <w:ilvl w:val="0"/>
          <w:numId w:val="27"/>
        </w:numPr>
        <w:tabs>
          <w:tab w:val="clear" w:pos="720"/>
          <w:tab w:val="num" w:pos="350"/>
        </w:tabs>
        <w:bidi w:val="0"/>
        <w:ind w:left="35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Delivering 2,154 tons of medical aid, ventilators, testing equipment, personal protective equipment, and supplies to 135 countries worldwide.</w:t>
      </w:r>
    </w:p>
    <w:p w14:paraId="0756A17B" w14:textId="77777777" w:rsidR="0077645C" w:rsidRPr="00421D6F" w:rsidRDefault="00000000" w:rsidP="0032468F">
      <w:pPr>
        <w:pStyle w:val="ListParagraph"/>
        <w:numPr>
          <w:ilvl w:val="0"/>
          <w:numId w:val="27"/>
        </w:numPr>
        <w:tabs>
          <w:tab w:val="clear" w:pos="720"/>
          <w:tab w:val="num" w:pos="350"/>
        </w:tabs>
        <w:bidi w:val="0"/>
        <w:ind w:left="35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Providing in-kind assistance worth USD 10 million to the World Health Organization.</w:t>
      </w:r>
    </w:p>
    <w:p w14:paraId="217D9366" w14:textId="77777777" w:rsidR="0077645C" w:rsidRPr="00421D6F" w:rsidRDefault="00000000" w:rsidP="0032468F">
      <w:pPr>
        <w:pStyle w:val="ListParagraph"/>
        <w:numPr>
          <w:ilvl w:val="0"/>
          <w:numId w:val="27"/>
        </w:numPr>
        <w:tabs>
          <w:tab w:val="clear" w:pos="720"/>
          <w:tab w:val="num" w:pos="350"/>
        </w:tabs>
        <w:bidi w:val="0"/>
        <w:ind w:left="35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Supplying medical assistance to 196 countries and sending aid to 117 countries from the warehouses of international organizations located in the International Humanitarian City in Dubai.</w:t>
      </w:r>
    </w:p>
    <w:p w14:paraId="698C6DDE" w14:textId="77777777" w:rsidR="0050435B" w:rsidRPr="00421D6F" w:rsidRDefault="00000000" w:rsidP="0032468F">
      <w:pPr>
        <w:pStyle w:val="ListParagraph"/>
        <w:numPr>
          <w:ilvl w:val="0"/>
          <w:numId w:val="27"/>
        </w:numPr>
        <w:tabs>
          <w:tab w:val="clear" w:pos="720"/>
          <w:tab w:val="num" w:pos="350"/>
        </w:tabs>
        <w:bidi w:val="0"/>
        <w:ind w:left="35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Allocating USD 10 billion to help developing countries recover from the recession caused by the pandemic and its negative impact on economic sectors.</w:t>
      </w:r>
    </w:p>
    <w:p w14:paraId="4B5FD83B" w14:textId="77777777" w:rsidR="00A5567F" w:rsidRPr="00421D6F" w:rsidRDefault="00000000" w:rsidP="0032468F">
      <w:pPr>
        <w:pStyle w:val="ListParagraph"/>
        <w:numPr>
          <w:ilvl w:val="0"/>
          <w:numId w:val="27"/>
        </w:numPr>
        <w:tabs>
          <w:tab w:val="clear" w:pos="720"/>
          <w:tab w:val="num" w:pos="350"/>
        </w:tabs>
        <w:bidi w:val="0"/>
        <w:ind w:left="35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Establishing six field hospitals in Sudan, Guinea Conakry, Mauritania, Sierra Leone, Lebanon, and Jordan, as well as equipping a mobile clinic in Turkmenistan.</w:t>
      </w:r>
    </w:p>
    <w:p w14:paraId="36F72F91" w14:textId="77777777" w:rsidR="00AD3BAC" w:rsidRPr="00421D6F" w:rsidRDefault="00000000" w:rsidP="0032468F">
      <w:pPr>
        <w:pStyle w:val="Heading3"/>
        <w:numPr>
          <w:ilvl w:val="0"/>
          <w:numId w:val="27"/>
        </w:numPr>
        <w:tabs>
          <w:tab w:val="clear" w:pos="720"/>
          <w:tab w:val="num" w:pos="350"/>
        </w:tabs>
        <w:spacing w:before="0" w:line="240" w:lineRule="auto"/>
        <w:ind w:left="350"/>
        <w:jc w:val="lowKashida"/>
        <w:rPr>
          <w:rFonts w:ascii="Times New Roman" w:eastAsia="Times New Roman" w:hAnsi="Times New Roman" w:cs="Times New Roman"/>
          <w:color w:val="auto"/>
        </w:rPr>
      </w:pPr>
      <w:r w:rsidRPr="00421D6F">
        <w:rPr>
          <w:rFonts w:ascii="Times New Roman" w:eastAsia="Times New Roman" w:hAnsi="Times New Roman" w:cs="Times New Roman"/>
          <w:color w:val="auto"/>
        </w:rPr>
        <w:t>Vaccine research and development: Participating in clinical vaccine trials in partnership with international companies, including China’s Sinopharm, which led to the development of an effective vaccine that was deployed widely within the UAE and abroad.</w:t>
      </w:r>
    </w:p>
    <w:p w14:paraId="43E8A93D" w14:textId="77777777" w:rsidR="00AD3BAC" w:rsidRPr="00421D6F" w:rsidRDefault="00000000" w:rsidP="0032468F">
      <w:pPr>
        <w:pStyle w:val="ListParagraph"/>
        <w:numPr>
          <w:ilvl w:val="0"/>
          <w:numId w:val="27"/>
        </w:numPr>
        <w:tabs>
          <w:tab w:val="clear" w:pos="720"/>
          <w:tab w:val="num" w:pos="350"/>
        </w:tabs>
        <w:bidi w:val="0"/>
        <w:ind w:left="3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joined international initiatives such as COVAX, aimed at ensuring fair and equitable global distribution of vaccines.</w:t>
      </w:r>
    </w:p>
    <w:p w14:paraId="4FB161A6" w14:textId="77777777" w:rsidR="00AD3BAC" w:rsidRPr="00421D6F" w:rsidRDefault="00000000" w:rsidP="0032468F">
      <w:pPr>
        <w:pStyle w:val="ListParagraph"/>
        <w:numPr>
          <w:ilvl w:val="0"/>
          <w:numId w:val="27"/>
        </w:numPr>
        <w:tabs>
          <w:tab w:val="clear" w:pos="720"/>
          <w:tab w:val="num" w:pos="350"/>
        </w:tabs>
        <w:bidi w:val="0"/>
        <w:ind w:left="3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UAE assisted in the repatriation of citizens from other countries who were stranded abroad due to the pandemic, by organizing humanitarian evacuation flights.</w:t>
      </w:r>
    </w:p>
    <w:p w14:paraId="62FC0AFF" w14:textId="77777777" w:rsidR="00BF6618" w:rsidRPr="00421D6F" w:rsidRDefault="00000000" w:rsidP="0032468F">
      <w:pPr>
        <w:pStyle w:val="ListParagraph"/>
        <w:numPr>
          <w:ilvl w:val="0"/>
          <w:numId w:val="27"/>
        </w:numPr>
        <w:tabs>
          <w:tab w:val="clear" w:pos="720"/>
          <w:tab w:val="num" w:pos="350"/>
        </w:tabs>
        <w:bidi w:val="0"/>
        <w:ind w:left="3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The Emirates Humanitarian City was built in just 48 hours (March 2020) to receive nationals of friendly and partner countries evacuated at the request of their governments. The City hosted hundreds of individuals of different nationalities, provided them with necessary healthcare during quarantine, and ensured access to food, housing, clothing, and financial support before their return home.</w:t>
      </w:r>
    </w:p>
    <w:p w14:paraId="7A3ED5D7" w14:textId="77777777" w:rsidR="00CC516D" w:rsidRPr="00421D6F" w:rsidRDefault="00CC516D" w:rsidP="0032468F">
      <w:pPr>
        <w:bidi w:val="0"/>
        <w:ind w:right="-142"/>
        <w:rPr>
          <w:rFonts w:ascii="Times New Roman" w:eastAsia="Times New Roman" w:hAnsi="Times New Roman" w:cs="Times New Roman"/>
          <w:sz w:val="24"/>
          <w:szCs w:val="24"/>
          <w:lang w:bidi="ar-BH"/>
        </w:rPr>
      </w:pPr>
    </w:p>
    <w:p w14:paraId="579E86F3" w14:textId="77777777" w:rsidR="009702B4" w:rsidRPr="00421D6F" w:rsidRDefault="00000000" w:rsidP="0032468F">
      <w:pPr>
        <w:bidi w:val="0"/>
        <w:ind w:left="-46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lastRenderedPageBreak/>
        <w:t>13. The UAE’s Hosting of the Conference of the Parties to the United Nations Framework Convention on Climate Change (COP28):</w:t>
      </w:r>
    </w:p>
    <w:p w14:paraId="77ABFD34" w14:textId="77777777" w:rsidR="00CC0FBD" w:rsidRPr="00421D6F" w:rsidRDefault="00000000" w:rsidP="0032468F">
      <w:pPr>
        <w:bidi w:val="0"/>
        <w:ind w:left="-4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The United Arab Emirates hosted the 28th Conference of the Parties (COP28) from 30 November to 12 December 2023. The conference brought together all signatory states to the United Nations Framework Convention on Climate Change (UNFCCC) to assess progress in combating climate change and to unify international efforts aimed at finding effective and practical solutions to urgent climate challenges. </w:t>
      </w:r>
    </w:p>
    <w:p w14:paraId="1C1DA76F" w14:textId="77777777" w:rsidR="00C66DEC" w:rsidRPr="00421D6F" w:rsidRDefault="00000000" w:rsidP="0032468F">
      <w:pPr>
        <w:bidi w:val="0"/>
        <w:ind w:left="-46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This edition of the conference held particular importance as it marked a shift from ongoing negotiations among states to the adoption of ambitious, practical measures to mitigate the impacts of climate change worldwide, while simultaneously advancing progress towards achieving the Sustainable Development Goals.</w:t>
      </w:r>
    </w:p>
    <w:p w14:paraId="38AD0466" w14:textId="77777777" w:rsidR="00C66DEC" w:rsidRPr="00421D6F" w:rsidRDefault="00000000" w:rsidP="0032468F">
      <w:pPr>
        <w:bidi w:val="0"/>
        <w:ind w:left="-460" w:right="-142"/>
        <w:rPr>
          <w:rFonts w:ascii="Times New Roman" w:eastAsia="Times New Roman" w:hAnsi="Times New Roman" w:cs="Times New Roman"/>
          <w:b/>
          <w:bCs/>
          <w:sz w:val="24"/>
          <w:szCs w:val="24"/>
        </w:rPr>
      </w:pPr>
      <w:r w:rsidRPr="00421D6F">
        <w:rPr>
          <w:rFonts w:ascii="Times New Roman" w:eastAsia="Times New Roman" w:hAnsi="Times New Roman" w:cs="Times New Roman"/>
          <w:b/>
          <w:bCs/>
          <w:sz w:val="24"/>
          <w:szCs w:val="24"/>
        </w:rPr>
        <w:t>COP28 represented one of the most prominent editions of the Conference of the Parties, due to the scale of achievements and outcomes it produced, most notably:</w:t>
      </w:r>
    </w:p>
    <w:p w14:paraId="608E83EF"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Adoption by consensus of the “UAE Consensus,” without objection from any of the nearly 200 participating states in the closing session of COP28 — one of the most significant decisions and outcomes of the climate summits.</w:t>
      </w:r>
    </w:p>
    <w:p w14:paraId="56686195"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Launch of ALTÉRRA, the world’s largest private investment fund fully dedicated to climate solutions, supported by more than USD 85 billion in new financial commitments from the Parties.</w:t>
      </w:r>
    </w:p>
    <w:p w14:paraId="7D747155"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Endorsement by around 120 countries of the UAE Declaration on Climate and Health at COP28, aimed at accelerating action to protect human health from growing climate impacts.</w:t>
      </w:r>
    </w:p>
    <w:p w14:paraId="772CD2C5"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Endorsement by over 130 countries of the UAE Declaration on Agriculture, Food, and Climate, advancing food security while tackling climate change.</w:t>
      </w:r>
    </w:p>
    <w:p w14:paraId="0D9ECA61"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Support from 66 countries for the Global Cooling Pledge to cut 2050 cooling-related emissions by 68%.</w:t>
      </w:r>
    </w:p>
    <w:p w14:paraId="1FC693A0" w14:textId="77777777" w:rsidR="00C66DEC"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Operationalization of the Climate Impact Response Fund and the Loss and Damage Fund, with the UAE contributing USD 100 million.</w:t>
      </w:r>
    </w:p>
    <w:p w14:paraId="201A374B" w14:textId="77777777" w:rsidR="009F6B5D"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Adoption of a roadmap to transition away from fossil fuels and to phase down oil, coal, and gas.</w:t>
      </w:r>
    </w:p>
    <w:p w14:paraId="28C80DBE" w14:textId="77777777" w:rsidR="009F6B5D"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Agreement on a mechanism to keep global warming within 1.5°C, including tripling renewable energy capacity and doubling energy efficiency by 2030.</w:t>
      </w:r>
    </w:p>
    <w:p w14:paraId="1DC3EF2B"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Establishment of the Loss and Damage Fund to support climate-vulnerable developing countries, with pledges amounting to hundreds of millions of dollars. International commitments included USD 3.5 billion to replenish the Green Climate Fund, and USD 150 million pledged by Parties to support the Least Developed Countries Fund and the Special Climate Change Fund.</w:t>
      </w:r>
    </w:p>
    <w:p w14:paraId="00BB007E"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lang w:bidi="ar-BH"/>
        </w:rPr>
        <w:t>Increase in World Bank climate-related financing by USD 9 billion annually in 2024–2025.</w:t>
      </w:r>
    </w:p>
    <w:p w14:paraId="210E9A46"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Adoption of the Biodiversity Strategy Framework 2031.</w:t>
      </w:r>
    </w:p>
    <w:p w14:paraId="48412142"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Launch of the International Governmental Alliance for Green Skills.</w:t>
      </w:r>
    </w:p>
    <w:p w14:paraId="05A5BE4E"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Launch of the Global Waste Decarbonization Initiative.</w:t>
      </w:r>
    </w:p>
    <w:p w14:paraId="42825F8C" w14:textId="77777777" w:rsidR="00C37959"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Inauguration of the UAE National Industrial Decarbonization Roadmap.</w:t>
      </w:r>
    </w:p>
    <w:p w14:paraId="1E9853F4"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Pledge to triple global renewable energy capacity and double energy efficiency (supported by 130 countries).</w:t>
      </w:r>
    </w:p>
    <w:p w14:paraId="54D9862A"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Pledge on Sustainable Food Systems, Agriculture, and Climate Action (supported by 150 countries).</w:t>
      </w:r>
    </w:p>
    <w:p w14:paraId="37FCE0E2"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Pledge on Climate and Health (supported by 135 countries).</w:t>
      </w:r>
    </w:p>
    <w:p w14:paraId="7B4C1FF4"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lang w:bidi="ar-BH"/>
        </w:rPr>
        <w:t>Pledge on Climate Finance (supported by 13 countries).</w:t>
      </w:r>
    </w:p>
    <w:p w14:paraId="3272DC63"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Pledge on Cooling (supported by 66 countries).</w:t>
      </w:r>
    </w:p>
    <w:p w14:paraId="7B7D8878"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Pledge on Climate, Relief, Recovery, and Peace (supported by 76 countries).</w:t>
      </w:r>
    </w:p>
    <w:p w14:paraId="19E960E0"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lastRenderedPageBreak/>
        <w:t>Pledge to establish the High Ambition Multilevel Partnerships Coalition (supported by 65 countries).</w:t>
      </w:r>
    </w:p>
    <w:p w14:paraId="29363FD4"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Pledge on Gender-Responsive Just Transitions and Climate Action (supported by 76 countries).</w:t>
      </w:r>
    </w:p>
    <w:p w14:paraId="213B6250" w14:textId="77777777" w:rsidR="0035067A"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Pledge on Oil and Gas Decarbonization (supported by 52 countries).</w:t>
      </w:r>
    </w:p>
    <w:p w14:paraId="7E3756AC" w14:textId="77777777" w:rsidR="00C3368E"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Pledge on Low-Carbon Hydrogen and Derivatives (supported by 37 countries).</w:t>
      </w:r>
    </w:p>
    <w:p w14:paraId="2C050CDB" w14:textId="77777777" w:rsidR="00C3368E" w:rsidRPr="00421D6F" w:rsidRDefault="00000000" w:rsidP="0032468F">
      <w:pPr>
        <w:pStyle w:val="ListParagraph"/>
        <w:numPr>
          <w:ilvl w:val="0"/>
          <w:numId w:val="28"/>
        </w:numPr>
        <w:tabs>
          <w:tab w:val="clear" w:pos="720"/>
        </w:tabs>
        <w:bidi w:val="0"/>
        <w:ind w:left="170" w:right="-142" w:hanging="45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Pledge on Climate, Nature, and People (supported by 18 countries).</w:t>
      </w:r>
    </w:p>
    <w:p w14:paraId="58CAF783" w14:textId="77777777" w:rsidR="00156ADB" w:rsidRPr="00421D6F" w:rsidRDefault="00156ADB" w:rsidP="0032468F">
      <w:pPr>
        <w:bidi w:val="0"/>
        <w:ind w:left="-460" w:right="-142"/>
        <w:rPr>
          <w:rFonts w:ascii="Times New Roman" w:eastAsia="Times New Roman" w:hAnsi="Times New Roman" w:cs="Times New Roman"/>
          <w:sz w:val="14"/>
          <w:szCs w:val="14"/>
          <w:lang w:bidi="ar-BH"/>
        </w:rPr>
      </w:pPr>
    </w:p>
    <w:p w14:paraId="7D864124" w14:textId="77777777" w:rsidR="00C3368E" w:rsidRPr="00421D6F" w:rsidRDefault="00000000" w:rsidP="0032468F">
      <w:pPr>
        <w:bidi w:val="0"/>
        <w:ind w:left="-460" w:right="-142"/>
        <w:rPr>
          <w:rFonts w:ascii="Times New Roman" w:eastAsia="Times New Roman" w:hAnsi="Times New Roman" w:cs="Times New Roman"/>
          <w:b/>
          <w:bCs/>
          <w:sz w:val="24"/>
          <w:szCs w:val="24"/>
          <w:u w:val="single"/>
        </w:rPr>
      </w:pPr>
      <w:r w:rsidRPr="00421D6F">
        <w:rPr>
          <w:rFonts w:ascii="Times New Roman" w:eastAsia="Times New Roman" w:hAnsi="Times New Roman" w:cs="Times New Roman"/>
          <w:b/>
          <w:bCs/>
          <w:sz w:val="24"/>
          <w:szCs w:val="24"/>
          <w:u w:val="single"/>
          <w:lang w:bidi="ar-BH"/>
        </w:rPr>
        <w:t>COP28 also delivered historic financial commitments to support climate action, including:</w:t>
      </w:r>
    </w:p>
    <w:p w14:paraId="227DF924"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Climate finance:  USD 30 billion from the United Arab Emirates, in addition to USD 200 million from the country’s Special Drawing Rights, and USD 31.6 billion from multilateral development banks.</w:t>
      </w:r>
    </w:p>
    <w:p w14:paraId="55CBA5AE" w14:textId="3D414B13"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Scaling renewable energy capacity</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5 billion.</w:t>
      </w:r>
    </w:p>
    <w:p w14:paraId="009FE89E" w14:textId="03E38F1B"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Green Climate Fund</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3.5 billion (raising the Second Replenishment to USD 12.8 billion).</w:t>
      </w:r>
    </w:p>
    <w:p w14:paraId="11ABB82A" w14:textId="2E40AF9D"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Food and agriculture systems transformation</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3.1 billion.</w:t>
      </w:r>
    </w:p>
    <w:p w14:paraId="03C4D0AB"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Health: USD 2.9 billion.</w:t>
      </w:r>
    </w:p>
    <w:p w14:paraId="3085F1F2"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Nature protection: USD 2.6 billion.</w:t>
      </w:r>
    </w:p>
    <w:p w14:paraId="1D9FAD7E"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Relief, recovery, and peace: USD 1.2 billion.</w:t>
      </w:r>
    </w:p>
    <w:p w14:paraId="11CF6B11"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Methane emissions reduction: USD 1.2 billion.</w:t>
      </w:r>
    </w:p>
    <w:p w14:paraId="5D4B346B" w14:textId="7C4EFBD5"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Global Climate Resilience Fund</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792 million.</w:t>
      </w:r>
    </w:p>
    <w:p w14:paraId="2926C8C6" w14:textId="55A577FD"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Clean energy investment mobilization</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568 million.</w:t>
      </w:r>
    </w:p>
    <w:p w14:paraId="4FF11245"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National climate action in countries: USD 467 million.</w:t>
      </w:r>
    </w:p>
    <w:p w14:paraId="6E56BFB3"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Water: USD 150 million.</w:t>
      </w:r>
    </w:p>
    <w:p w14:paraId="11051FAE" w14:textId="35DEE299"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Adaptation Fund</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134 million.</w:t>
      </w:r>
    </w:p>
    <w:p w14:paraId="0C9D0E30" w14:textId="3963AD3D"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Least Developed Countries Fund</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129.3 million</w:t>
      </w:r>
    </w:p>
    <w:p w14:paraId="0035EEDB" w14:textId="707A587F"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Cooling</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57 million.</w:t>
      </w:r>
    </w:p>
    <w:p w14:paraId="3018E981" w14:textId="7D874E4E"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Special Climate Change Fund</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31 million.</w:t>
      </w:r>
    </w:p>
    <w:p w14:paraId="46C2B834" w14:textId="40232F4D"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Clean cooking</w:t>
      </w:r>
      <w:r w:rsidR="008F1419" w:rsidRPr="00421D6F">
        <w:rPr>
          <w:rFonts w:ascii="Times New Roman" w:eastAsia="Times New Roman" w:hAnsi="Times New Roman" w:cs="Times New Roman"/>
          <w:sz w:val="24"/>
          <w:szCs w:val="24"/>
        </w:rPr>
        <w:t>: USD</w:t>
      </w:r>
      <w:r w:rsidRPr="00421D6F">
        <w:rPr>
          <w:rFonts w:ascii="Times New Roman" w:eastAsia="Times New Roman" w:hAnsi="Times New Roman" w:cs="Times New Roman"/>
          <w:sz w:val="24"/>
          <w:szCs w:val="24"/>
        </w:rPr>
        <w:t xml:space="preserve"> 30 million. </w:t>
      </w:r>
    </w:p>
    <w:p w14:paraId="37218FEA" w14:textId="77777777" w:rsidR="00C3368E" w:rsidRPr="00421D6F" w:rsidRDefault="00000000" w:rsidP="0032468F">
      <w:pPr>
        <w:pStyle w:val="ListParagraph"/>
        <w:numPr>
          <w:ilvl w:val="0"/>
          <w:numId w:val="29"/>
        </w:numPr>
        <w:tabs>
          <w:tab w:val="clear" w:pos="720"/>
          <w:tab w:val="num" w:pos="80"/>
        </w:tabs>
        <w:bidi w:val="0"/>
        <w:ind w:left="80" w:right="-142"/>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Gender equality: USD 2.8 million.</w:t>
      </w:r>
    </w:p>
    <w:p w14:paraId="1D9AC280" w14:textId="77777777" w:rsidR="00EA1308" w:rsidRPr="00421D6F" w:rsidRDefault="00EA1308" w:rsidP="0032468F">
      <w:pPr>
        <w:pStyle w:val="ListParagraph"/>
        <w:bidi w:val="0"/>
        <w:ind w:left="-640" w:right="-142"/>
        <w:rPr>
          <w:rFonts w:ascii="Times New Roman" w:eastAsia="Times New Roman" w:hAnsi="Times New Roman" w:cs="Times New Roman"/>
          <w:sz w:val="16"/>
          <w:szCs w:val="16"/>
        </w:rPr>
      </w:pPr>
    </w:p>
    <w:p w14:paraId="55246EB5" w14:textId="77777777" w:rsidR="00B429A1" w:rsidRPr="00421D6F" w:rsidRDefault="00000000" w:rsidP="0032468F">
      <w:pPr>
        <w:bidi w:val="0"/>
        <w:ind w:left="-64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 xml:space="preserve">14. </w:t>
      </w:r>
      <w:bookmarkStart w:id="1" w:name="_Hlk180655980"/>
      <w:r w:rsidRPr="00421D6F">
        <w:rPr>
          <w:rFonts w:ascii="Times New Roman" w:eastAsia="Times New Roman" w:hAnsi="Times New Roman" w:cs="Times New Roman"/>
          <w:b/>
          <w:bCs/>
          <w:sz w:val="24"/>
          <w:szCs w:val="24"/>
          <w:u w:val="single"/>
          <w:lang w:bidi="ar-BH"/>
        </w:rPr>
        <w:t>The Status of the Arab Charter on Human Rights in the United Arab Emirates:</w:t>
      </w:r>
      <w:bookmarkEnd w:id="1"/>
    </w:p>
    <w:p w14:paraId="71B7F728" w14:textId="77777777" w:rsidR="00EA1308"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UAHR affirms the importance of the UAE’s ratification of the ACHR, which serves as the primary Arab and regional safeguard for the protection and promotion of human rights, and highlights the country’s active partnership with the ACHR Committee as the main regional mechanism concerned with human rights.</w:t>
      </w:r>
    </w:p>
    <w:p w14:paraId="3991BED4" w14:textId="77777777" w:rsidR="00585563"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 this regard, we commend the attention and commitment that the UAE devotes to the ACHR, as well as its strong cooperation with the ACHR Committee and other regional mechanisms. We also note the country’s efforts to align national legislation with the provisions and principles of the ACHR, and its commitment to ensuring that the values and principles enshrined in the ACHR are embedded within the UAE’s legislation, laws, and human rights policies.</w:t>
      </w:r>
    </w:p>
    <w:p w14:paraId="2752AA40" w14:textId="77777777" w:rsidR="00AB3448" w:rsidRPr="00421D6F" w:rsidRDefault="00000000" w:rsidP="0032468F">
      <w:pPr>
        <w:bidi w:val="0"/>
        <w:ind w:left="-640" w:right="-142"/>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UAHR further expresses its appreciation for the UAE’s commitment to submitting its reports to the ACHR Committee regularly and on time, and for its active participation in the review and discussion of these reports by the ACHR Committee. We particularly value the UAE’s engagement in interactive dialogues with committee members and experts, and its readiness to respond to the outcomes, observations, and recommendations that emerge from these reviews, all of which contribute to enhancing the process of discussing and evaluating the national reports of member states.</w:t>
      </w:r>
    </w:p>
    <w:p w14:paraId="295A2DEC" w14:textId="77777777" w:rsidR="004B0DFF" w:rsidRPr="00421D6F" w:rsidRDefault="004B0DFF" w:rsidP="0032468F">
      <w:pPr>
        <w:bidi w:val="0"/>
        <w:ind w:left="-460" w:right="-142"/>
        <w:rPr>
          <w:rFonts w:ascii="Times New Roman" w:eastAsia="Times New Roman" w:hAnsi="Times New Roman" w:cs="Times New Roman"/>
          <w:sz w:val="24"/>
          <w:szCs w:val="24"/>
          <w:lang w:bidi="ar-BH"/>
        </w:rPr>
      </w:pPr>
    </w:p>
    <w:p w14:paraId="03A073F4" w14:textId="77777777" w:rsidR="00F27EBF" w:rsidRPr="00421D6F" w:rsidRDefault="00000000" w:rsidP="0032468F">
      <w:pPr>
        <w:bidi w:val="0"/>
        <w:ind w:left="-460" w:right="-142"/>
        <w:rPr>
          <w:rFonts w:ascii="Times New Roman" w:eastAsia="Times New Roman" w:hAnsi="Times New Roman" w:cs="Times New Roman"/>
          <w:b/>
          <w:bCs/>
          <w:sz w:val="24"/>
          <w:szCs w:val="24"/>
          <w:u w:val="single"/>
          <w:lang w:bidi="ar-BH"/>
        </w:rPr>
      </w:pPr>
      <w:r w:rsidRPr="00421D6F">
        <w:rPr>
          <w:rFonts w:ascii="Times New Roman" w:eastAsia="Times New Roman" w:hAnsi="Times New Roman" w:cs="Times New Roman"/>
          <w:b/>
          <w:bCs/>
          <w:sz w:val="24"/>
          <w:szCs w:val="24"/>
          <w:u w:val="single"/>
          <w:lang w:bidi="ar-BH"/>
        </w:rPr>
        <w:t>Section Two: Highlighting the UAE’s Attention to and Commitment to the Arab Charter on Human Rights:</w:t>
      </w:r>
    </w:p>
    <w:tbl>
      <w:tblPr>
        <w:tblStyle w:val="TableGrid"/>
        <w:tblW w:w="10265" w:type="dxa"/>
        <w:tblInd w:w="-565" w:type="dxa"/>
        <w:tblLook w:val="04A0" w:firstRow="1" w:lastRow="0" w:firstColumn="1" w:lastColumn="0" w:noHBand="0" w:noVBand="1"/>
      </w:tblPr>
      <w:tblGrid>
        <w:gridCol w:w="1856"/>
        <w:gridCol w:w="5508"/>
        <w:gridCol w:w="2901"/>
      </w:tblGrid>
      <w:tr w:rsidR="002A4559" w:rsidRPr="00421D6F" w14:paraId="70741CC0" w14:textId="77777777" w:rsidTr="005C5773">
        <w:tc>
          <w:tcPr>
            <w:tcW w:w="1856" w:type="dxa"/>
            <w:shd w:val="clear" w:color="auto" w:fill="9CC2E5" w:themeFill="accent1" w:themeFillTint="99"/>
            <w:vAlign w:val="center"/>
          </w:tcPr>
          <w:p w14:paraId="3D8D1A7A" w14:textId="77777777" w:rsidR="00B55BDD" w:rsidRPr="00421D6F" w:rsidRDefault="00000000" w:rsidP="0032468F">
            <w:pPr>
              <w:bidi w:val="0"/>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lastRenderedPageBreak/>
              <w:t>Article</w:t>
            </w:r>
          </w:p>
        </w:tc>
        <w:tc>
          <w:tcPr>
            <w:tcW w:w="5508" w:type="dxa"/>
            <w:shd w:val="clear" w:color="auto" w:fill="9CC2E5" w:themeFill="accent1" w:themeFillTint="99"/>
            <w:vAlign w:val="center"/>
          </w:tcPr>
          <w:p w14:paraId="693D950E" w14:textId="77777777" w:rsidR="00B55BDD" w:rsidRPr="00421D6F" w:rsidRDefault="00000000" w:rsidP="0032468F">
            <w:pPr>
              <w:bidi w:val="0"/>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National Status</w:t>
            </w:r>
          </w:p>
        </w:tc>
        <w:tc>
          <w:tcPr>
            <w:tcW w:w="2901" w:type="dxa"/>
            <w:shd w:val="clear" w:color="auto" w:fill="9CC2E5" w:themeFill="accent1" w:themeFillTint="99"/>
            <w:vAlign w:val="center"/>
          </w:tcPr>
          <w:p w14:paraId="7A8C3903" w14:textId="77777777" w:rsidR="00B55BDD" w:rsidRPr="00421D6F" w:rsidRDefault="00000000" w:rsidP="0032468F">
            <w:pPr>
              <w:bidi w:val="0"/>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Comments and Recommendations</w:t>
            </w:r>
          </w:p>
        </w:tc>
      </w:tr>
      <w:tr w:rsidR="002A4559" w:rsidRPr="00421D6F" w14:paraId="30DF3E7F" w14:textId="77777777" w:rsidTr="005C5773">
        <w:trPr>
          <w:trHeight w:val="1934"/>
        </w:trPr>
        <w:tc>
          <w:tcPr>
            <w:tcW w:w="1856" w:type="dxa"/>
            <w:vAlign w:val="center"/>
          </w:tcPr>
          <w:p w14:paraId="317FEAE9" w14:textId="77777777" w:rsidR="00B55BDD"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 Key Objectives of the Charter</w:t>
            </w:r>
          </w:p>
        </w:tc>
        <w:tc>
          <w:tcPr>
            <w:tcW w:w="5508" w:type="dxa"/>
            <w:vAlign w:val="center"/>
          </w:tcPr>
          <w:p w14:paraId="1363BB8C" w14:textId="5460FF6A" w:rsidR="00CF0552"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attaches great importance to the objectives and core purposes of the Charter</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This is clearly reflected in its Constitution, as well as in its national laws, legislation, and policies. The country actively cooperates with various bodies and committees affiliated with or established under the Charter. Moreover, it places increasing emphasis on strengthening national identity rooted in the values and principles of society, and affirms its unwavering foundations</w:t>
            </w:r>
            <w:r w:rsidR="008F1419" w:rsidRPr="00421D6F">
              <w:rPr>
                <w:rFonts w:ascii="Times New Roman" w:eastAsia="Times New Roman" w:hAnsi="Times New Roman" w:cs="Times New Roman"/>
                <w:sz w:val="24"/>
                <w:szCs w:val="24"/>
                <w:lang w:bidi="ar-BH"/>
              </w:rPr>
              <w:t xml:space="preserve">. </w:t>
            </w:r>
          </w:p>
          <w:p w14:paraId="741EA799" w14:textId="76F607C7" w:rsidR="00B55BDD"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The UAE also affirms its commitment to promoting respect for human rights, based on the humanitarian principles and values emphasized by the Charter and reinforced by international human rights instruments, particularly the principle of </w:t>
            </w:r>
            <w:r w:rsidR="008F1419" w:rsidRPr="00421D6F">
              <w:rPr>
                <w:rFonts w:ascii="Times New Roman" w:eastAsia="Times New Roman" w:hAnsi="Times New Roman" w:cs="Times New Roman"/>
                <w:sz w:val="24"/>
                <w:szCs w:val="24"/>
                <w:lang w:bidi="ar-BH"/>
              </w:rPr>
              <w:t>interdependence</w:t>
            </w:r>
            <w:r w:rsidRPr="00421D6F">
              <w:rPr>
                <w:rFonts w:ascii="Times New Roman" w:eastAsia="Times New Roman" w:hAnsi="Times New Roman" w:cs="Times New Roman"/>
                <w:sz w:val="24"/>
                <w:szCs w:val="24"/>
                <w:lang w:bidi="ar-BH"/>
              </w:rPr>
              <w:t>, universality, and indivisibility of rights and freedoms.</w:t>
            </w:r>
          </w:p>
        </w:tc>
        <w:tc>
          <w:tcPr>
            <w:tcW w:w="2901" w:type="dxa"/>
            <w:vAlign w:val="center"/>
          </w:tcPr>
          <w:p w14:paraId="57108C32" w14:textId="77777777" w:rsidR="00C428E4" w:rsidRPr="00421D6F" w:rsidRDefault="00000000" w:rsidP="0032468F">
            <w:pPr>
              <w:bidi w:val="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recommend more celebrations of the Arab Human Rights Day, highlighting the UAE’s efforts related to the ACHR, and by utilizing both traditional and digital media to showcase the country’s initiatives in promoting tolerance and peaceful coexistence.</w:t>
            </w:r>
          </w:p>
        </w:tc>
      </w:tr>
      <w:tr w:rsidR="002A4559" w:rsidRPr="00421D6F" w14:paraId="4CD83FBB" w14:textId="77777777" w:rsidTr="005C5773">
        <w:tc>
          <w:tcPr>
            <w:tcW w:w="1856" w:type="dxa"/>
            <w:vAlign w:val="center"/>
          </w:tcPr>
          <w:p w14:paraId="7F6D49ED" w14:textId="77777777" w:rsidR="00B55BDD"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2. The Right to Self-Determination</w:t>
            </w:r>
          </w:p>
        </w:tc>
        <w:tc>
          <w:tcPr>
            <w:tcW w:w="5508" w:type="dxa"/>
          </w:tcPr>
          <w:p w14:paraId="1EBA075B" w14:textId="58F14791" w:rsidR="002C18A7" w:rsidRPr="00421D6F" w:rsidRDefault="00000000" w:rsidP="0032468F">
            <w:pPr>
              <w:pStyle w:val="NormalWeb"/>
              <w:spacing w:before="0" w:beforeAutospacing="0" w:after="0" w:afterAutospacing="0"/>
              <w:jc w:val="lowKashida"/>
              <w:rPr>
                <w:lang w:bidi="ar-BH"/>
              </w:rPr>
            </w:pPr>
            <w:r w:rsidRPr="00421D6F">
              <w:rPr>
                <w:lang w:bidi="ar-BH"/>
              </w:rPr>
              <w:t>We affirm the UAE's unwavering commitment to the principles enshrined in Article (2) of the ACHR</w:t>
            </w:r>
            <w:r w:rsidR="008F1419" w:rsidRPr="00421D6F">
              <w:rPr>
                <w:lang w:bidi="ar-BH"/>
              </w:rPr>
              <w:t xml:space="preserve">. </w:t>
            </w:r>
            <w:r w:rsidRPr="00421D6F">
              <w:rPr>
                <w:lang w:bidi="ar-BH"/>
              </w:rPr>
              <w:t xml:space="preserve">It upholds the right of peoples to self-determination, including the sovereign control over their natural resources and the freedom to choose their own political, economic, social, and cultural systems. </w:t>
            </w:r>
          </w:p>
          <w:p w14:paraId="61B8E415" w14:textId="77777777" w:rsidR="002C18A7" w:rsidRPr="00421D6F" w:rsidRDefault="00000000" w:rsidP="0032468F">
            <w:pPr>
              <w:pStyle w:val="NormalWeb"/>
              <w:spacing w:before="0" w:beforeAutospacing="0" w:after="0" w:afterAutospacing="0"/>
              <w:jc w:val="lowKashida"/>
              <w:rPr>
                <w:lang w:bidi="ar-BH"/>
              </w:rPr>
            </w:pPr>
            <w:r w:rsidRPr="00421D6F">
              <w:rPr>
                <w:lang w:bidi="ar-BH"/>
              </w:rPr>
              <w:t xml:space="preserve">The UAE also affirms its adherence to the principles of national sovereignty and territorial integrity, and rejects all forms of racism, colonialism, and foreign occupation. The country considers these values essential to preserving human dignity and promoting peace and stability. </w:t>
            </w:r>
          </w:p>
          <w:p w14:paraId="0D12D20C" w14:textId="77777777" w:rsidR="002C18A7" w:rsidRPr="00421D6F" w:rsidRDefault="00000000" w:rsidP="0032468F">
            <w:pPr>
              <w:pStyle w:val="NormalWeb"/>
              <w:spacing w:before="0" w:beforeAutospacing="0" w:after="0" w:afterAutospacing="0"/>
              <w:jc w:val="lowKashida"/>
              <w:rPr>
                <w:lang w:bidi="ar-BH"/>
              </w:rPr>
            </w:pPr>
            <w:r w:rsidRPr="00421D6F">
              <w:rPr>
                <w:lang w:bidi="ar-BH"/>
              </w:rPr>
              <w:t>Furthermore, the UAE supports the legitimate right of peoples to resist foreign occupation, in line with relevant regional and international human rights standards. This is reflected in the UAE’s positions during its membership in the UN Security Council and the Human Rights Council, as well as its full commitment to the resolutions of the UN Security Council, the UN General Assembly, the Gulf Cooperation Council, the Arab League, and the Organisation of Islamic Cooperation—particularly in supporting a comprehensive and just solution to the Palestinian cause and the establishment of an independent Palestinian state with East Jerusalem as its capital, in accordance with international legitimacy and the Arab Peace Initiative.</w:t>
            </w:r>
          </w:p>
          <w:p w14:paraId="2610D6BA" w14:textId="77777777" w:rsidR="00B55BDD" w:rsidRPr="00421D6F" w:rsidRDefault="00000000" w:rsidP="0032468F">
            <w:pPr>
              <w:pStyle w:val="NormalWeb"/>
              <w:spacing w:before="0" w:beforeAutospacing="0" w:after="0" w:afterAutospacing="0"/>
              <w:jc w:val="lowKashida"/>
              <w:rPr>
                <w:lang w:bidi="ar-BH"/>
              </w:rPr>
            </w:pPr>
            <w:r w:rsidRPr="00421D6F">
              <w:rPr>
                <w:lang w:bidi="ar-BH"/>
              </w:rPr>
              <w:t xml:space="preserve">Through its policies, initiatives, and active participation in regional and international forums, the UAE continues to demonstrate its strong commitment to </w:t>
            </w:r>
            <w:r w:rsidRPr="00421D6F">
              <w:rPr>
                <w:lang w:bidi="ar-BH"/>
              </w:rPr>
              <w:lastRenderedPageBreak/>
              <w:t>upholding and protecting these rights, which it considers fundamental pillars of justice and human dignity.</w:t>
            </w:r>
          </w:p>
        </w:tc>
        <w:tc>
          <w:tcPr>
            <w:tcW w:w="2901" w:type="dxa"/>
            <w:vAlign w:val="center"/>
          </w:tcPr>
          <w:p w14:paraId="6F0A522B" w14:textId="77777777" w:rsidR="00106312" w:rsidRPr="00421D6F" w:rsidRDefault="00000000" w:rsidP="0032468F">
            <w:pPr>
              <w:bidi w:val="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It is recommended that the UAE prepare and publish regular reports highlighting its efforts in this area, thereby strengthening its positive image on both regional and international levels.</w:t>
            </w:r>
          </w:p>
          <w:p w14:paraId="79FF2917" w14:textId="77777777" w:rsidR="00203AE4" w:rsidRPr="00421D6F" w:rsidRDefault="00203AE4" w:rsidP="0032468F">
            <w:pPr>
              <w:bidi w:val="0"/>
              <w:jc w:val="lowKashida"/>
              <w:rPr>
                <w:rFonts w:ascii="Times New Roman" w:eastAsia="Times New Roman" w:hAnsi="Times New Roman" w:cs="Times New Roman"/>
                <w:sz w:val="24"/>
                <w:szCs w:val="24"/>
                <w:lang w:bidi="ar-BH"/>
              </w:rPr>
            </w:pPr>
          </w:p>
        </w:tc>
      </w:tr>
      <w:tr w:rsidR="002A4559" w:rsidRPr="00421D6F" w14:paraId="510F1C4E" w14:textId="77777777" w:rsidTr="005C5773">
        <w:tc>
          <w:tcPr>
            <w:tcW w:w="1856" w:type="dxa"/>
            <w:vAlign w:val="center"/>
          </w:tcPr>
          <w:p w14:paraId="1F11C3D3" w14:textId="77777777" w:rsidR="001858B2"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3. The Right to Justice, Equality, and Non-Discrimination </w:t>
            </w:r>
          </w:p>
        </w:tc>
        <w:tc>
          <w:tcPr>
            <w:tcW w:w="5508" w:type="dxa"/>
          </w:tcPr>
          <w:p w14:paraId="079235CB" w14:textId="77777777" w:rsidR="001858B2"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Constitution, in Article 25, firmly upholds the principles of equality and non-discrimination. The UAE is a party to the International Convention on the Elimination of All Forms of Racial Discrimination and has adopted a clear, effective, and transparent national policy that reflects its commitment to the principles of justice, equality, and non-discrimination. All discriminatory practices are criminalized under national law, including through the issuance of Federal Decree-Law No. 34 of 2023 on Combating Discrimination, Hatred, and Extremism. The UAE guarantees equal opportunities to ensure justice and equality in the enjoyment of rights and freedoms—particularly between men and women—through comprehensive national strategies and policies. These efforts have enabled the UAE to rank 7th globally and 1st regionally in the Gender Equality Index 2024, published by the United Nations Development Programme (UNDP). The country also ensures equal rights for persons with disabilities through legislation and policies that guarantee their full inclusion in society.</w:t>
            </w:r>
          </w:p>
        </w:tc>
        <w:tc>
          <w:tcPr>
            <w:tcW w:w="2901" w:type="dxa"/>
            <w:vAlign w:val="center"/>
          </w:tcPr>
          <w:p w14:paraId="0F2672CF" w14:textId="77777777" w:rsidR="001858B2"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It is recommended that the UAE document its experience in promoting the values of justice, equality, and non-discrimination and work toward institutionalizing this approach through a practical and scientific methodology. This would allow others to benefit from the UAE’s experience as one of the leading national, regional, and international models in the field of human rights. The UAE’s policies in promoting justice, equality, and combating discrimination and hatred are especially commendable.</w:t>
            </w:r>
          </w:p>
        </w:tc>
      </w:tr>
      <w:tr w:rsidR="002A4559" w:rsidRPr="00421D6F" w14:paraId="155BB693" w14:textId="77777777" w:rsidTr="005C5773">
        <w:tc>
          <w:tcPr>
            <w:tcW w:w="1856" w:type="dxa"/>
            <w:vAlign w:val="center"/>
          </w:tcPr>
          <w:p w14:paraId="4BBDC383" w14:textId="77777777" w:rsidR="007D0A20"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4. National Emergencies and Threats to the Life of the Nation</w:t>
            </w:r>
          </w:p>
        </w:tc>
        <w:tc>
          <w:tcPr>
            <w:tcW w:w="5508" w:type="dxa"/>
          </w:tcPr>
          <w:p w14:paraId="4A025700" w14:textId="77777777" w:rsidR="007D0A2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is committed to ensuring that any emergency measures it adopts are governed by clear regulations and remain fully aligned with its regional and international human rights obligations. The UAE takes special care to protect fundamental rights and to uphold the legal and judicial safeguards enshrined in the ACHR. This includes adherence to the principles of equality and non-discrimination, the protection of fundamental rights, the periodic review of exceptional measures, and the obligation to transparently report such measures. Emergency decisions are publicly announced through official channels, and the judiciary continues to function even during states of emergency. A key example of this commitment was demonstrated during the COVID-19 pandemic. Despite the declaration of public health emergency measures, the UAE ensured the protection of the fundamental rights of both citizens and residents, including their rights to healthcare, education, and access to justice.</w:t>
            </w:r>
          </w:p>
        </w:tc>
        <w:tc>
          <w:tcPr>
            <w:tcW w:w="2901" w:type="dxa"/>
            <w:vAlign w:val="center"/>
          </w:tcPr>
          <w:p w14:paraId="56D06FBE" w14:textId="77777777" w:rsidR="007D0A2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UAE’s national policies aimed at safeguarding its security and national stability, as well as its commitment to promoting peace, tolerance, and coexistence among all citizens and residents. Of particular note are the efforts of its crisis and disaster management authorities and the country's forward-looking policies in this area.</w:t>
            </w:r>
          </w:p>
        </w:tc>
      </w:tr>
      <w:tr w:rsidR="002A4559" w:rsidRPr="00421D6F" w14:paraId="181E3E6A" w14:textId="77777777" w:rsidTr="005C5773">
        <w:trPr>
          <w:trHeight w:val="710"/>
        </w:trPr>
        <w:tc>
          <w:tcPr>
            <w:tcW w:w="1856" w:type="dxa"/>
            <w:vAlign w:val="center"/>
          </w:tcPr>
          <w:p w14:paraId="7A77E41D" w14:textId="77777777" w:rsidR="00DB0D1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5. The Right to Life</w:t>
            </w:r>
          </w:p>
        </w:tc>
        <w:tc>
          <w:tcPr>
            <w:tcW w:w="5508" w:type="dxa"/>
          </w:tcPr>
          <w:p w14:paraId="64772E02" w14:textId="77777777" w:rsidR="00DB0D1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The protection of the right to life is a fundamental pillar of the UAE’s national legislation and policies. The country takes proactive measures to uphold and safeguard this right at all times. These include laws such as the Crimes and Penalties Law, and robust </w:t>
            </w:r>
            <w:r w:rsidRPr="00421D6F">
              <w:rPr>
                <w:rFonts w:ascii="Times New Roman" w:eastAsia="Times New Roman" w:hAnsi="Times New Roman" w:cs="Times New Roman"/>
                <w:sz w:val="24"/>
                <w:szCs w:val="24"/>
                <w:lang w:bidi="ar-BH"/>
              </w:rPr>
              <w:lastRenderedPageBreak/>
              <w:t>enforcement mechanisms through judicial and executive authorities. The UAE ensures the protection of vulnerable and at-risk groups, such as women and children, and limits the application of the death penalty strictly to the most serious crimes. Even in such cases, it is only carried out following fair trials that uphold all legal safeguards, including the right to appeal and to seek clemency or commutation of the sentence. During the COVID-19 pandemic, the UAE took stringent preventive measures to protect the right to life. Furthermore, its efforts to promote and safeguard life extended beyond its borders through international peacebuilding initiatives and humanitarian action.</w:t>
            </w:r>
          </w:p>
        </w:tc>
        <w:tc>
          <w:tcPr>
            <w:tcW w:w="2901" w:type="dxa"/>
            <w:vAlign w:val="center"/>
          </w:tcPr>
          <w:p w14:paraId="4B2CFE22" w14:textId="77777777" w:rsidR="00DB0D1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 xml:space="preserve">We commend the UAE’s unwavering commitment to safeguarding the right to life, as reflected in its policies aimed at ensuring </w:t>
            </w:r>
            <w:r w:rsidRPr="00421D6F">
              <w:rPr>
                <w:rFonts w:ascii="Times New Roman" w:eastAsia="Times New Roman" w:hAnsi="Times New Roman" w:cs="Times New Roman"/>
                <w:sz w:val="24"/>
                <w:szCs w:val="24"/>
                <w:lang w:bidi="ar-BH"/>
              </w:rPr>
              <w:lastRenderedPageBreak/>
              <w:t>the safety of individuals and society. We recommend continued efforts to foster a societal culture that values and upholds the right to life as a shared and deeply rooted principle, and to raise public awareness about the dangers of domestic violence.</w:t>
            </w:r>
          </w:p>
        </w:tc>
      </w:tr>
      <w:tr w:rsidR="002A4559" w:rsidRPr="00421D6F" w14:paraId="7E0FA799" w14:textId="77777777" w:rsidTr="005C5773">
        <w:tc>
          <w:tcPr>
            <w:tcW w:w="1856" w:type="dxa"/>
            <w:vAlign w:val="center"/>
          </w:tcPr>
          <w:p w14:paraId="5B4D16BD" w14:textId="77777777" w:rsidR="00C25A57"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6, 7. The Death Penalty</w:t>
            </w:r>
          </w:p>
        </w:tc>
        <w:tc>
          <w:tcPr>
            <w:tcW w:w="5508" w:type="dxa"/>
          </w:tcPr>
          <w:p w14:paraId="376E2D46" w14:textId="597D59A4" w:rsidR="00253D5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In accordance with the UAE Constitution and judicial rulings, the independence and sovereignty of the judiciary are firmly upheld, and no interference is permitted in judicial decisions</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 xml:space="preserve">The death penalty is strictly limited to the most serious crimes and is only applied after the exhaustion of all levels of litigation and the issuance of final, irrevocable judgments through fair trials that meet standards of judicial integrity. Individuals sentenced to death are guaranteed the right to appeal and seek redress at every stage, with rigorous judicial review required before any sentence is carried out. The UAE also provides avenues for clemency, whether through </w:t>
            </w:r>
            <w:r w:rsidR="008F1419" w:rsidRPr="00421D6F">
              <w:rPr>
                <w:rFonts w:ascii="Times New Roman" w:eastAsia="Times New Roman" w:hAnsi="Times New Roman" w:cs="Times New Roman"/>
                <w:sz w:val="24"/>
                <w:szCs w:val="24"/>
                <w:lang w:bidi="ar-BH"/>
              </w:rPr>
              <w:t>presidential</w:t>
            </w:r>
            <w:r w:rsidRPr="00421D6F">
              <w:rPr>
                <w:rFonts w:ascii="Times New Roman" w:eastAsia="Times New Roman" w:hAnsi="Times New Roman" w:cs="Times New Roman"/>
                <w:sz w:val="24"/>
                <w:szCs w:val="24"/>
                <w:lang w:bidi="ar-BH"/>
              </w:rPr>
              <w:t xml:space="preserve"> pardon or by the victim’s next of kin, and allows for commutation of sentences. The humane treatment of individuals on death row is a </w:t>
            </w:r>
            <w:r w:rsidR="008F1419" w:rsidRPr="00421D6F">
              <w:rPr>
                <w:rFonts w:ascii="Times New Roman" w:eastAsia="Times New Roman" w:hAnsi="Times New Roman" w:cs="Times New Roman"/>
                <w:sz w:val="24"/>
                <w:szCs w:val="24"/>
                <w:lang w:bidi="ar-BH"/>
              </w:rPr>
              <w:t>priority, and</w:t>
            </w:r>
            <w:r w:rsidRPr="00421D6F">
              <w:rPr>
                <w:rFonts w:ascii="Times New Roman" w:eastAsia="Times New Roman" w:hAnsi="Times New Roman" w:cs="Times New Roman"/>
                <w:sz w:val="24"/>
                <w:szCs w:val="24"/>
                <w:lang w:bidi="ar-BH"/>
              </w:rPr>
              <w:t xml:space="preserve"> national legislation continues to be aligned with international standards, with a clear emphasis on protecting the right to life and limiting the use of capital punishment to only the narrowest of circumstances necessary for safeguarding national and societal security.</w:t>
            </w:r>
          </w:p>
          <w:p w14:paraId="18CB9D64" w14:textId="33E232C4" w:rsidR="000932E8"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Furthermore, UAE law prohibits the application of the death penalty to individuals under the age of 18</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Pregnant and nursing women are granted special protection; in such cases, the sentence is postponed until after childbirth and the child has been weaned, with the best interests of the child always prioritized.</w:t>
            </w:r>
          </w:p>
        </w:tc>
        <w:tc>
          <w:tcPr>
            <w:tcW w:w="2901" w:type="dxa"/>
            <w:vAlign w:val="center"/>
          </w:tcPr>
          <w:p w14:paraId="5661B954" w14:textId="77777777" w:rsidR="00C25A57"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 for the constitutional, legal, and procedural safeguards it has put in place to restrict and regulate the application of the death penalty. We emphasize the importance of prioritizing public safety and crime prevention, which serve as the fundamental rationale for such measures.</w:t>
            </w:r>
          </w:p>
        </w:tc>
      </w:tr>
      <w:tr w:rsidR="002A4559" w:rsidRPr="00421D6F" w14:paraId="7E5B2835" w14:textId="77777777" w:rsidTr="005C5773">
        <w:tc>
          <w:tcPr>
            <w:tcW w:w="1856" w:type="dxa"/>
            <w:vAlign w:val="center"/>
          </w:tcPr>
          <w:p w14:paraId="399DA1DA" w14:textId="77777777" w:rsidR="00611CF4"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8. Prohibition of Torture</w:t>
            </w:r>
          </w:p>
        </w:tc>
        <w:tc>
          <w:tcPr>
            <w:tcW w:w="5508" w:type="dxa"/>
          </w:tcPr>
          <w:p w14:paraId="6F56F90A" w14:textId="77777777" w:rsidR="00611CF4"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Article (26) of the UAE Constitution guarantees protection from torture and from treatment that is degrading to human dignity. The country’s laws protect all individuals from physical and psychological harm. The UAE acceded to the Convention against Torture in 2012 and continues to actively engage within this framework. The UAE remains firmly committed to prohibiting, preventing, and criminalizing all acts of </w:t>
            </w:r>
            <w:r w:rsidRPr="00421D6F">
              <w:rPr>
                <w:rFonts w:ascii="Times New Roman" w:eastAsia="Times New Roman" w:hAnsi="Times New Roman" w:cs="Times New Roman"/>
                <w:sz w:val="24"/>
                <w:szCs w:val="24"/>
                <w:lang w:bidi="ar-BH"/>
              </w:rPr>
              <w:lastRenderedPageBreak/>
              <w:t>torture, as well as any conduct that causes physical or psychological harm or constitutes degrading or inhumane treatment.</w:t>
            </w:r>
          </w:p>
        </w:tc>
        <w:tc>
          <w:tcPr>
            <w:tcW w:w="2901" w:type="dxa"/>
            <w:vAlign w:val="center"/>
          </w:tcPr>
          <w:p w14:paraId="769CF475" w14:textId="77777777" w:rsidR="00611CF4"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 xml:space="preserve">We commend the UAE for its cooperation with international and regional bodies concerned with combating torture, particularly its engagement with the Committee against Torture, the timely </w:t>
            </w:r>
            <w:r w:rsidRPr="00421D6F">
              <w:rPr>
                <w:rFonts w:ascii="Times New Roman" w:eastAsia="Times New Roman" w:hAnsi="Times New Roman" w:cs="Times New Roman"/>
                <w:sz w:val="24"/>
                <w:szCs w:val="24"/>
                <w:lang w:bidi="ar-BH"/>
              </w:rPr>
              <w:lastRenderedPageBreak/>
              <w:t>submission of its national reports under the Convention, and its constructive participation in the review and discussion of those reports.</w:t>
            </w:r>
          </w:p>
        </w:tc>
      </w:tr>
      <w:tr w:rsidR="002A4559" w:rsidRPr="00421D6F" w14:paraId="3694BDC2" w14:textId="77777777" w:rsidTr="005C5773">
        <w:tc>
          <w:tcPr>
            <w:tcW w:w="1856" w:type="dxa"/>
            <w:vAlign w:val="center"/>
          </w:tcPr>
          <w:p w14:paraId="0A227544" w14:textId="77777777" w:rsidR="00151D39"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lastRenderedPageBreak/>
              <w:br w:type="page"/>
              <w:t>9. Prohibition of Medical Experimentation on Humans and Adherence to Medical Ethics</w:t>
            </w:r>
          </w:p>
        </w:tc>
        <w:tc>
          <w:tcPr>
            <w:tcW w:w="5508" w:type="dxa"/>
          </w:tcPr>
          <w:p w14:paraId="66F9567E" w14:textId="1DA49566" w:rsidR="00EE4A11"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affirms the necessity of practicing medicine in accordance with professional ethics, as outlined in Federal Law No. 5 of 2019 on the Regulation of the Practice of Human Medicine and Federal Decree-Law No. 4 of 2016 on Medical Liability. These laws comprehensively address all legal and ethical aspects of the medical profession. The UAE strictly prohibits conducting medical or scientific experiments on individuals without their free and informed consent and unequivocally bans all forms of human organ trafficking. Under Federal Law No. 15 of 2020 on the Regulation of Human Organ Transplantation, the UAE criminalizes all forms of organ trafficking and imposes stringent penalties on violators</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The country is committed to upholding medical and ethical standards to ensure the protection of both patients and donors, requiring informed and prior consent before any medical or scientific intervention</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The UAE also strengthens transparency and accountability through regulatory oversight of healthcare institutions, while safeguarding the rights and well-being of individuals.</w:t>
            </w:r>
          </w:p>
        </w:tc>
        <w:tc>
          <w:tcPr>
            <w:tcW w:w="2901" w:type="dxa"/>
            <w:vAlign w:val="center"/>
          </w:tcPr>
          <w:p w14:paraId="067800BC" w14:textId="77777777" w:rsidR="00382E1B"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issuance of relevant legislation and its executive regulations, as well as the UAE’s comprehensive regulatory efforts to monitor all medical centers and healthcare facilities across the country.</w:t>
            </w:r>
          </w:p>
          <w:p w14:paraId="44C0E16C" w14:textId="77777777" w:rsidR="00151D39" w:rsidRPr="00421D6F" w:rsidRDefault="00151D39" w:rsidP="0032468F">
            <w:pPr>
              <w:bidi w:val="0"/>
              <w:rPr>
                <w:rFonts w:ascii="Times New Roman" w:eastAsia="Times New Roman" w:hAnsi="Times New Roman" w:cs="Times New Roman"/>
                <w:sz w:val="24"/>
                <w:szCs w:val="24"/>
                <w:lang w:bidi="ar-BH"/>
              </w:rPr>
            </w:pPr>
          </w:p>
        </w:tc>
      </w:tr>
      <w:tr w:rsidR="002A4559" w:rsidRPr="00421D6F" w14:paraId="4D9A7B64" w14:textId="77777777" w:rsidTr="005C5773">
        <w:tc>
          <w:tcPr>
            <w:tcW w:w="1856" w:type="dxa"/>
            <w:vAlign w:val="center"/>
          </w:tcPr>
          <w:p w14:paraId="034086EF" w14:textId="77777777" w:rsidR="00151D39"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br w:type="page"/>
              <w:t>10: Prohibition of Slavery and Human Trafficking</w:t>
            </w:r>
          </w:p>
        </w:tc>
        <w:tc>
          <w:tcPr>
            <w:tcW w:w="5508" w:type="dxa"/>
            <w:vAlign w:val="center"/>
          </w:tcPr>
          <w:p w14:paraId="5D852EED" w14:textId="77777777" w:rsidR="00151D39"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criminalizes all practices related to human trafficking. Federal Decree-Law No. 24 of 2023 on Combating Human Trafficking comprehensively regulates all aspects of countering this crime. The National Committee for Combatting Human Trafficking is actively working to strengthen protection against all forms and manifestations of human trafficking through its National Action Plan 2025–2027.</w:t>
            </w:r>
          </w:p>
          <w:p w14:paraId="59662B77" w14:textId="100D2F26" w:rsidR="003E5273"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also provides comprehensive support and care for victims, including shelter, psychological and social rehabilitation services, and guarantees victims’ rights to legal protection and appropriate compensation</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The country remains firmly committed to combating these crimes through public awareness programs and cooperation with international organizations, in line with its dedication to human dignity and the protection of vulnerable groups.</w:t>
            </w:r>
          </w:p>
        </w:tc>
        <w:tc>
          <w:tcPr>
            <w:tcW w:w="2901" w:type="dxa"/>
          </w:tcPr>
          <w:p w14:paraId="3F9E5E41" w14:textId="143B6389" w:rsidR="00933DBD" w:rsidRPr="00421D6F" w:rsidRDefault="00000000" w:rsidP="0032468F">
            <w:pPr>
              <w:bidi w:val="0"/>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lang w:bidi="ar-BH"/>
              </w:rPr>
              <w:t>We commend the issuance of the Federal Decree-Law of 2023 on Combating Human Trafficking and the national initiatives aimed at enhancing victim protection both domestically and abroad</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 xml:space="preserve">We also value the UAE’s launch of the Abu Dhabi Dialogue in February 2024, which facilitates consultations between labor-sending and receiving countries in Asia. Furthermore, we note the UAE’s key role in the Global Campaign to Combat Human Trafficking. </w:t>
            </w:r>
          </w:p>
          <w:p w14:paraId="3992BE47" w14:textId="77777777" w:rsidR="00EE4A11"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rPr>
              <w:t xml:space="preserve">We recommend that the National Action Plan to </w:t>
            </w:r>
            <w:r w:rsidRPr="00421D6F">
              <w:rPr>
                <w:rFonts w:ascii="Times New Roman" w:eastAsia="Times New Roman" w:hAnsi="Times New Roman" w:cs="Times New Roman"/>
                <w:sz w:val="24"/>
                <w:szCs w:val="24"/>
              </w:rPr>
              <w:lastRenderedPageBreak/>
              <w:t>combat human trafficking be widely disseminated through media channels.</w:t>
            </w:r>
          </w:p>
        </w:tc>
      </w:tr>
      <w:tr w:rsidR="002A4559" w:rsidRPr="00421D6F" w14:paraId="2C3E0A46" w14:textId="77777777" w:rsidTr="005C5773">
        <w:tc>
          <w:tcPr>
            <w:tcW w:w="1856" w:type="dxa"/>
            <w:vAlign w:val="center"/>
          </w:tcPr>
          <w:p w14:paraId="3A7C7DC0" w14:textId="77777777" w:rsidR="00151D39"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11. Equality Before the Law</w:t>
            </w:r>
          </w:p>
        </w:tc>
        <w:tc>
          <w:tcPr>
            <w:tcW w:w="5508" w:type="dxa"/>
          </w:tcPr>
          <w:p w14:paraId="54F10118" w14:textId="63831DF2" w:rsidR="00151D39"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has enshrined the protection and respect for this right in its Constitution, specifically Article 25, which affirms that all individuals are equal before the law and prohibits discrimination among them. Additionally, Article 40 guarantees that foreigners residing in the UAE enjoy the rights and freedoms set out in international instruments and conventions to which the UAE is a party</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This principle is upheld across the country’s laws, regulations, and policies, and is consistently applied by all government institutions. Furthermore, Article 41 of the Constitution grants every person the right to submit complaints to competent authorities and judicial bodies</w:t>
            </w:r>
            <w:r w:rsidR="008F1419" w:rsidRPr="00421D6F">
              <w:rPr>
                <w:rFonts w:ascii="Times New Roman" w:eastAsia="Times New Roman" w:hAnsi="Times New Roman" w:cs="Times New Roman"/>
                <w:sz w:val="24"/>
                <w:szCs w:val="24"/>
                <w:lang w:bidi="ar-BH"/>
              </w:rPr>
              <w:t xml:space="preserve">. </w:t>
            </w:r>
          </w:p>
          <w:p w14:paraId="3CC3E776" w14:textId="77777777" w:rsidR="003E5273"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has strengthened this commitment through national legislation, including the Law on Combating Discrimination, Hatred, and Extremism, which criminalizes all forms of racial and religious discrimination and prohibits hate speech and incitement. The UAE ensures access to fair judicial mechanisms that allow individuals to challenge judicial and administrative decisions. It also provides free legal aid to vulnerable groups, including workers, women, and children.</w:t>
            </w:r>
          </w:p>
        </w:tc>
        <w:tc>
          <w:tcPr>
            <w:tcW w:w="2901" w:type="dxa"/>
            <w:vAlign w:val="center"/>
          </w:tcPr>
          <w:p w14:paraId="4293695E" w14:textId="77777777" w:rsidR="00151D39"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UAE’s commitment to guaranteeing equality before the law for all, without discrimination. We also commend the safeguards and mechanisms it has put in place to ensure that everyone enjoys legal protection and the right to seek justice, without restriction or bias.</w:t>
            </w:r>
          </w:p>
        </w:tc>
      </w:tr>
      <w:tr w:rsidR="002A4559" w:rsidRPr="00421D6F" w14:paraId="5BBCEE7B" w14:textId="77777777" w:rsidTr="005C5773">
        <w:tc>
          <w:tcPr>
            <w:tcW w:w="1856" w:type="dxa"/>
            <w:vAlign w:val="center"/>
          </w:tcPr>
          <w:p w14:paraId="631CF213" w14:textId="77777777" w:rsidR="00151D39"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12. Equality Before the Judiciary</w:t>
            </w:r>
          </w:p>
        </w:tc>
        <w:tc>
          <w:tcPr>
            <w:tcW w:w="5508" w:type="dxa"/>
          </w:tcPr>
          <w:p w14:paraId="687FAA27" w14:textId="46BCFE53" w:rsidR="003A4753"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The UAE guarantees the right to litigation for all individuals without discrimination. Articles 25, 41, and 94 of the Constitution affirm the independence of the judiciary and ensure equality before the courts. Citizens and residents alike are granted the right to appeal and seek review through all levels of litigation, up to the Federal Supreme Court. The country also guarantees free legal assistance to vulnerable groups and has adopted remote litigation technologies to facilitate swift and transparent access to justice. The UAE is committed to monitoring judicial proceedings and ensuring the integrity and independence of judges, thereby strengthening public confidence in the judicial </w:t>
            </w:r>
            <w:r w:rsidR="008F1419" w:rsidRPr="00421D6F">
              <w:rPr>
                <w:rFonts w:ascii="Times New Roman" w:eastAsia="Times New Roman" w:hAnsi="Times New Roman" w:cs="Times New Roman"/>
                <w:sz w:val="24"/>
                <w:szCs w:val="24"/>
                <w:lang w:bidi="ar-BH"/>
              </w:rPr>
              <w:t>system,</w:t>
            </w:r>
            <w:r w:rsidRPr="00421D6F">
              <w:rPr>
                <w:rFonts w:ascii="Times New Roman" w:eastAsia="Times New Roman" w:hAnsi="Times New Roman" w:cs="Times New Roman"/>
                <w:sz w:val="24"/>
                <w:szCs w:val="24"/>
                <w:lang w:bidi="ar-BH"/>
              </w:rPr>
              <w:t xml:space="preserve"> and guaranteeing fair trials for all.</w:t>
            </w:r>
          </w:p>
        </w:tc>
        <w:tc>
          <w:tcPr>
            <w:tcW w:w="2901" w:type="dxa"/>
          </w:tcPr>
          <w:p w14:paraId="04AF7F8D" w14:textId="77777777" w:rsidR="00151D39"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UAE’s commitment to upholding equality before the judiciary for all, without discrimination. We affirm the importance of the country’s dedication to guaranteeing judicial independence, safeguarding judges, and ensuring non-interference in their rulings and respect for judicial authority.</w:t>
            </w:r>
          </w:p>
        </w:tc>
      </w:tr>
      <w:tr w:rsidR="002A4559" w:rsidRPr="00421D6F" w14:paraId="6227F635" w14:textId="77777777" w:rsidTr="005C5773">
        <w:tc>
          <w:tcPr>
            <w:tcW w:w="1856" w:type="dxa"/>
            <w:vAlign w:val="center"/>
          </w:tcPr>
          <w:p w14:paraId="7A15CF9A" w14:textId="77777777" w:rsidR="00151D39"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13. The Right to a Fair Trial</w:t>
            </w:r>
          </w:p>
        </w:tc>
        <w:tc>
          <w:tcPr>
            <w:tcW w:w="5508" w:type="dxa"/>
          </w:tcPr>
          <w:p w14:paraId="31CA4EDE" w14:textId="6FE64206" w:rsidR="00151D39" w:rsidRPr="00421D6F" w:rsidRDefault="00000000" w:rsidP="0032468F">
            <w:pPr>
              <w:pStyle w:val="NormalWeb"/>
              <w:spacing w:before="0" w:beforeAutospacing="0" w:after="0" w:afterAutospacing="0"/>
              <w:jc w:val="lowKashida"/>
              <w:rPr>
                <w:lang w:bidi="ar-BH"/>
              </w:rPr>
            </w:pPr>
            <w:r w:rsidRPr="00421D6F">
              <w:rPr>
                <w:lang w:bidi="ar-BH"/>
              </w:rPr>
              <w:t>The UAE upholds the right to a fair trial through its Constitution, which affirms the independence and integrity of the judiciary. Individuals are guaranteed the right to defend themselves and access free legal aid if they are financially unable to do so, particularly workers and low-income individuals</w:t>
            </w:r>
            <w:r w:rsidR="008F1419" w:rsidRPr="00421D6F">
              <w:rPr>
                <w:lang w:bidi="ar-BH"/>
              </w:rPr>
              <w:t xml:space="preserve">. </w:t>
            </w:r>
            <w:r w:rsidRPr="00421D6F">
              <w:rPr>
                <w:lang w:bidi="ar-BH"/>
              </w:rPr>
              <w:t xml:space="preserve">UAE courts adhere to the principle of public trials, with hearings held openly except in cases where public order or </w:t>
            </w:r>
            <w:r w:rsidRPr="00421D6F">
              <w:rPr>
                <w:lang w:bidi="ar-BH"/>
              </w:rPr>
              <w:lastRenderedPageBreak/>
              <w:t>privacy necessitates otherwise. The UAE ensures the right to appeal and challenge judicial decisions through its appellate and cassation courts, enabling objective and fair review of judgments</w:t>
            </w:r>
            <w:r w:rsidR="008F1419" w:rsidRPr="00421D6F">
              <w:rPr>
                <w:lang w:bidi="ar-BH"/>
              </w:rPr>
              <w:t xml:space="preserve">. </w:t>
            </w:r>
            <w:r w:rsidRPr="00421D6F">
              <w:rPr>
                <w:lang w:bidi="ar-BH"/>
              </w:rPr>
              <w:t>Individuals are also permitted to participate in court proceedings remotely via smart digital systems, enhancing access to justice for all</w:t>
            </w:r>
            <w:r w:rsidR="008F1419" w:rsidRPr="00421D6F">
              <w:rPr>
                <w:lang w:bidi="ar-BH"/>
              </w:rPr>
              <w:t xml:space="preserve">. </w:t>
            </w:r>
            <w:r w:rsidRPr="00421D6F">
              <w:rPr>
                <w:lang w:bidi="ar-BH"/>
              </w:rPr>
              <w:t>The country continues to advance its judicial system to promote transparency, fair trials, and the protection of human rights.</w:t>
            </w:r>
          </w:p>
        </w:tc>
        <w:tc>
          <w:tcPr>
            <w:tcW w:w="2901" w:type="dxa"/>
          </w:tcPr>
          <w:p w14:paraId="3940614E" w14:textId="77777777" w:rsidR="00070B28" w:rsidRPr="00421D6F" w:rsidRDefault="00070B28" w:rsidP="0032468F">
            <w:pPr>
              <w:bidi w:val="0"/>
              <w:rPr>
                <w:rFonts w:ascii="Times New Roman" w:eastAsia="Times New Roman" w:hAnsi="Times New Roman" w:cs="Times New Roman"/>
                <w:sz w:val="24"/>
                <w:szCs w:val="24"/>
                <w:lang w:bidi="ar-BH"/>
              </w:rPr>
            </w:pPr>
          </w:p>
          <w:p w14:paraId="75E1D230" w14:textId="77777777" w:rsidR="00F35A9A"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We commend the UAE’s commitment to guaranteeing the right to a fair trial and recommend efforts to further promote public awareness of the judiciary’s procedures and </w:t>
            </w:r>
            <w:r w:rsidRPr="00421D6F">
              <w:rPr>
                <w:rFonts w:ascii="Times New Roman" w:eastAsia="Times New Roman" w:hAnsi="Times New Roman" w:cs="Times New Roman"/>
                <w:sz w:val="24"/>
                <w:szCs w:val="24"/>
                <w:lang w:bidi="ar-BH"/>
              </w:rPr>
              <w:lastRenderedPageBreak/>
              <w:t>legal foundations. These efforts should be disseminated through various local, regional, and international media platforms.</w:t>
            </w:r>
          </w:p>
          <w:p w14:paraId="73496801" w14:textId="77777777" w:rsidR="00151D39" w:rsidRPr="00421D6F" w:rsidRDefault="00151D39" w:rsidP="0032468F">
            <w:pPr>
              <w:bidi w:val="0"/>
              <w:jc w:val="left"/>
              <w:rPr>
                <w:rFonts w:ascii="Times New Roman" w:eastAsia="Times New Roman" w:hAnsi="Times New Roman" w:cs="Times New Roman"/>
                <w:sz w:val="24"/>
                <w:szCs w:val="24"/>
                <w:lang w:bidi="ar-BH"/>
              </w:rPr>
            </w:pPr>
          </w:p>
        </w:tc>
      </w:tr>
      <w:tr w:rsidR="002A4559" w:rsidRPr="00421D6F" w14:paraId="2DEC89EB" w14:textId="77777777" w:rsidTr="005C5773">
        <w:tc>
          <w:tcPr>
            <w:tcW w:w="1856" w:type="dxa"/>
            <w:vAlign w:val="center"/>
          </w:tcPr>
          <w:p w14:paraId="321D353C" w14:textId="77777777" w:rsidR="005C5CA4"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14. The Right to Personal Liberty and Security</w:t>
            </w:r>
          </w:p>
        </w:tc>
        <w:tc>
          <w:tcPr>
            <w:tcW w:w="5508" w:type="dxa"/>
          </w:tcPr>
          <w:p w14:paraId="258FFA71" w14:textId="2ECBEAD9" w:rsidR="00A07157"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Constitution guarantees this right in Article 26, which states, “Personal liberty is guaranteed to all citizens. No one may be arrested, searched, or detained except in accordance with the law.” The country reinforces this right across its legislation, regulations, and policies, most notably in Federal Law No. 38 of 2022 on Criminal Procedure, which stipulates that detention or arrest must be based on a justified legal order. The UAE ensures that detainees are informed of the reasons for their arrest and are granted access to legal counsel and contact with family members</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 xml:space="preserve">Detainees also enjoy the right to prompt judicial review, with suspects brought before a judge within a reasonable timeframe and granted the right to appeal. Healthcare and medical examinations are provided </w:t>
            </w:r>
            <w:r w:rsidR="008F1419" w:rsidRPr="00421D6F">
              <w:rPr>
                <w:rFonts w:ascii="Times New Roman" w:eastAsia="Times New Roman" w:hAnsi="Times New Roman" w:cs="Times New Roman"/>
                <w:sz w:val="24"/>
                <w:szCs w:val="24"/>
                <w:lang w:bidi="ar-BH"/>
              </w:rPr>
              <w:t>for</w:t>
            </w:r>
            <w:r w:rsidRPr="00421D6F">
              <w:rPr>
                <w:rFonts w:ascii="Times New Roman" w:eastAsia="Times New Roman" w:hAnsi="Times New Roman" w:cs="Times New Roman"/>
                <w:sz w:val="24"/>
                <w:szCs w:val="24"/>
                <w:lang w:bidi="ar-BH"/>
              </w:rPr>
              <w:t xml:space="preserve"> detainees, and their dignity and human rights are fully respected. The UAE continues to strengthen judicial oversight over detention facilities to ensure compliance with both national and international standards. Effective complaint mechanisms are in place, allowing detainees to report any violations of their rights. This mechanism also allows complaints to the National Human Rights Institution.</w:t>
            </w:r>
          </w:p>
        </w:tc>
        <w:tc>
          <w:tcPr>
            <w:tcW w:w="2901" w:type="dxa"/>
          </w:tcPr>
          <w:p w14:paraId="1F878B02" w14:textId="77777777" w:rsidR="00A07157"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UAE’s issuance of the Criminal Procedure Law and its strong guarantees for the right to personal liberty and security. The law represents a significant advancement in safeguarding these rights in line with the ACHR and international human rights instruments.</w:t>
            </w:r>
          </w:p>
        </w:tc>
      </w:tr>
      <w:tr w:rsidR="002A4559" w:rsidRPr="00421D6F" w14:paraId="59EE61EB" w14:textId="77777777" w:rsidTr="005C5773">
        <w:tc>
          <w:tcPr>
            <w:tcW w:w="1856" w:type="dxa"/>
            <w:vAlign w:val="center"/>
          </w:tcPr>
          <w:p w14:paraId="6673CD11" w14:textId="77777777" w:rsidR="005C5CA4"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15. No Crime and No Punishment Except as Provided by Law</w:t>
            </w:r>
          </w:p>
        </w:tc>
        <w:tc>
          <w:tcPr>
            <w:tcW w:w="5508" w:type="dxa"/>
            <w:vAlign w:val="center"/>
          </w:tcPr>
          <w:p w14:paraId="038EF712" w14:textId="0173D237" w:rsidR="005C5CA4" w:rsidRPr="00421D6F" w:rsidRDefault="00000000" w:rsidP="0032468F">
            <w:pPr>
              <w:pStyle w:val="NormalWeb"/>
              <w:spacing w:before="0" w:beforeAutospacing="0" w:after="0" w:afterAutospacing="0"/>
              <w:jc w:val="lowKashida"/>
              <w:rPr>
                <w:lang w:bidi="ar-BH"/>
              </w:rPr>
            </w:pPr>
            <w:r w:rsidRPr="00421D6F">
              <w:rPr>
                <w:lang w:bidi="ar-BH"/>
              </w:rPr>
              <w:t>The UAE Constitution guarantees this principle in Article 27, which states: “Crimes and punishments shall be defined by law, and no penalty shall be imposed for an act or omission committed before the enactment of the law that prescribes it.” This principle is further enshrined in the Crimes and Penalties Law, which affirms that no individual may be convicted or punished except under legislation in force at the time the act was committed. Moreover, if a new law is enacted that prescribes a lesser penalty, the more lenient provision is applied in favor of the accused</w:t>
            </w:r>
            <w:r w:rsidR="008F1419" w:rsidRPr="00421D6F">
              <w:rPr>
                <w:lang w:bidi="ar-BH"/>
              </w:rPr>
              <w:t xml:space="preserve">. </w:t>
            </w:r>
            <w:r w:rsidRPr="00421D6F">
              <w:rPr>
                <w:lang w:bidi="ar-BH"/>
              </w:rPr>
              <w:t>UAE courts strictly uphold this principle, reviewing sentences where applicable in light of subsequent legislation that is more favorable to the defendant</w:t>
            </w:r>
            <w:r w:rsidR="008F1419" w:rsidRPr="00421D6F">
              <w:rPr>
                <w:lang w:bidi="ar-BH"/>
              </w:rPr>
              <w:t xml:space="preserve">. </w:t>
            </w:r>
            <w:r w:rsidRPr="00421D6F">
              <w:rPr>
                <w:lang w:bidi="ar-BH"/>
              </w:rPr>
              <w:t xml:space="preserve">Defendants also have the right to appeal rulings if it is proven that a more lenient law applies to their case, and are guaranteed access to </w:t>
            </w:r>
            <w:r w:rsidRPr="00421D6F">
              <w:rPr>
                <w:lang w:bidi="ar-BH"/>
              </w:rPr>
              <w:lastRenderedPageBreak/>
              <w:t>adequate legal defense. The UAE continues to develop its criminal legislation to align with international human rights standards, upholding the principles of justice and fairness throughout all judicial proceedings.</w:t>
            </w:r>
          </w:p>
        </w:tc>
        <w:tc>
          <w:tcPr>
            <w:tcW w:w="2901" w:type="dxa"/>
          </w:tcPr>
          <w:p w14:paraId="1EA9249D" w14:textId="77777777" w:rsidR="005C5CA4"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We commend the UAE for enacting the Crimes and Penalties Law and for incorporating legal and procedural safeguards that ensure the proper classification of crimes and the proportional imposition of penalties in accordance with the Constitution, the provisions of the ACHR, and relevant international human rights instruments.</w:t>
            </w:r>
          </w:p>
        </w:tc>
      </w:tr>
      <w:tr w:rsidR="002A4559" w:rsidRPr="00421D6F" w14:paraId="7C130137" w14:textId="77777777" w:rsidTr="005C5773">
        <w:tc>
          <w:tcPr>
            <w:tcW w:w="1856" w:type="dxa"/>
            <w:vAlign w:val="center"/>
          </w:tcPr>
          <w:p w14:paraId="292F47C5" w14:textId="77777777" w:rsidR="00F36F15"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16. Guarantees of a Fair Trial</w:t>
            </w:r>
          </w:p>
        </w:tc>
        <w:tc>
          <w:tcPr>
            <w:tcW w:w="5508" w:type="dxa"/>
          </w:tcPr>
          <w:p w14:paraId="15E10A6A" w14:textId="6014A13E" w:rsidR="00F36F15"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Constitution affirms in Article 28 that “An accused person is presumed innocent until proven guilty in a legal and fair trial, and has the right to appoint a competent person to defend them during trial.” The UAE is committed to the principle of the presumption of innocence, whereby any accused person is considered innocent until convicted by a final judicial ruling. The country guarantees the right to legal defense by allowing defendants to appoint legal counsel, and if they are financially unable to do so, a lawyer is appointed for them free of charge to ensure access to justice. Furthermore, defendants are promptly informed of the charges brought against them in a language they understand, with free translation services provided as needed</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The UAE also prohibits coercion in obtaining confessions, thereby reinforcing respect for human dignity throughout investigation and trial proceedings.</w:t>
            </w:r>
          </w:p>
        </w:tc>
        <w:tc>
          <w:tcPr>
            <w:tcW w:w="2901" w:type="dxa"/>
          </w:tcPr>
          <w:p w14:paraId="755940AC" w14:textId="77777777" w:rsidR="00F36F15"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 for enacting the Criminal Procedure Law and the fair trial guarantees it upholds. We also appreciate the country's commitment to achieving justice and reinforcing all safeguards that ensure defendants are fully enabled to exercise their right to defense.</w:t>
            </w:r>
          </w:p>
        </w:tc>
      </w:tr>
      <w:tr w:rsidR="002A4559" w:rsidRPr="00421D6F" w14:paraId="5D0F37E1" w14:textId="77777777" w:rsidTr="005C5773">
        <w:tc>
          <w:tcPr>
            <w:tcW w:w="1856" w:type="dxa"/>
            <w:vAlign w:val="center"/>
          </w:tcPr>
          <w:p w14:paraId="00228934" w14:textId="77777777" w:rsidR="00F36F15"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17. Establishing a Specialized Juvenile Justice System</w:t>
            </w:r>
          </w:p>
        </w:tc>
        <w:tc>
          <w:tcPr>
            <w:tcW w:w="5508" w:type="dxa"/>
          </w:tcPr>
          <w:p w14:paraId="47F64ADC" w14:textId="3253F645" w:rsidR="00E52CA0"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places significant emphasis on the welfare of juvenile offenders and is committed to safeguarding their best interests, ensuring opportunities for rehabilitation and behavioral reform. In support of this right, the UAE enacted Federal Law No. 6 of 2022 on Juvenile Delinquents and Those at Risk of Delinquency. This law aims to strengthen protection mechanisms and achieve rehabilitation goals for juveniles, including provisions for juvenile justice systems and care centers, in line with the UAE’s international obligations related to children and human rights. It also takes into account the psychological and social considerations specific to children. The UAE ensures a safe environment throughout investigation and trial procedures, upholding the child’s dignity and prioritizing their best interests in all actions taken</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Additionally, the country implements social and educational rehabilitation programs, reintegrating juvenile offenders into society through specialized educational institutions</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 xml:space="preserve">The UAE also provides psychological and social support for children and their families through partnerships with juvenile care centers and relevant authorities, with the aim of preventing reoffending and enabling children to become productive members of society. </w:t>
            </w:r>
          </w:p>
        </w:tc>
        <w:tc>
          <w:tcPr>
            <w:tcW w:w="2901" w:type="dxa"/>
          </w:tcPr>
          <w:p w14:paraId="4EA2B1E3" w14:textId="77777777" w:rsidR="00983261"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UAE’s commitment to the care of juvenile offenders and those at risk of delinquency. We also welcome the enactment of Federal Law No. 6 of 2022 and Cabinet Resolution No. 133 of 2023 regarding its executive regulations, which promote a humane justice system focused on rehabilitation and reintegration rather than punishment.</w:t>
            </w:r>
          </w:p>
          <w:p w14:paraId="528F4321" w14:textId="77777777" w:rsidR="000D5E79" w:rsidRPr="00421D6F" w:rsidRDefault="000D5E79" w:rsidP="0032468F">
            <w:pPr>
              <w:bidi w:val="0"/>
              <w:rPr>
                <w:rFonts w:ascii="Times New Roman" w:eastAsia="Times New Roman" w:hAnsi="Times New Roman" w:cs="Times New Roman"/>
                <w:sz w:val="24"/>
                <w:szCs w:val="24"/>
                <w:lang w:bidi="ar-BH"/>
              </w:rPr>
            </w:pPr>
          </w:p>
        </w:tc>
      </w:tr>
      <w:tr w:rsidR="002A4559" w:rsidRPr="00421D6F" w14:paraId="1BBF7077" w14:textId="77777777" w:rsidTr="005C5773">
        <w:tc>
          <w:tcPr>
            <w:tcW w:w="1856" w:type="dxa"/>
            <w:vAlign w:val="center"/>
          </w:tcPr>
          <w:p w14:paraId="2BDFAC59" w14:textId="77777777" w:rsidR="00F36F15"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 xml:space="preserve">18. Prohibition of Imprisoning </w:t>
            </w:r>
            <w:r w:rsidRPr="00421D6F">
              <w:rPr>
                <w:rFonts w:ascii="Times New Roman" w:eastAsia="Times New Roman" w:hAnsi="Times New Roman" w:cs="Times New Roman"/>
                <w:sz w:val="24"/>
                <w:szCs w:val="24"/>
                <w:lang w:bidi="ar-BH"/>
              </w:rPr>
              <w:lastRenderedPageBreak/>
              <w:t>Insolvent Debtors</w:t>
            </w:r>
          </w:p>
        </w:tc>
        <w:tc>
          <w:tcPr>
            <w:tcW w:w="5508" w:type="dxa"/>
          </w:tcPr>
          <w:p w14:paraId="3EE3A49B" w14:textId="6E8E08B8" w:rsidR="00D95A0F" w:rsidRPr="00421D6F" w:rsidRDefault="00000000" w:rsidP="0032468F">
            <w:pPr>
              <w:pStyle w:val="NormalWeb"/>
              <w:spacing w:before="0" w:beforeAutospacing="0" w:after="0" w:afterAutospacing="0"/>
              <w:jc w:val="both"/>
              <w:rPr>
                <w:lang w:bidi="ar-BH"/>
              </w:rPr>
            </w:pPr>
            <w:r w:rsidRPr="00421D6F">
              <w:rPr>
                <w:lang w:bidi="ar-BH"/>
              </w:rPr>
              <w:lastRenderedPageBreak/>
              <w:t xml:space="preserve">The UAE has enacted humanitarian laws and initiatives to ease the burden on debtors. Article 319 of the Civil </w:t>
            </w:r>
            <w:r w:rsidRPr="00421D6F">
              <w:rPr>
                <w:lang w:bidi="ar-BH"/>
              </w:rPr>
              <w:lastRenderedPageBreak/>
              <w:t>Procedure Law stipulates that a debtor may not be imprisoned if they prove their inability to repay the debt, affirming protection in cases of insolvency. Additionally, Law No. 51 of 2023 on Financial Reorganization and Bankruptcy offers mechanisms for debt restructuring rather than imprisonment, providing financial settlement options through negotiation between debtor and creditor. The UAE has also launched humanitarian and social initiatives such as the F</w:t>
            </w:r>
            <w:r w:rsidR="008F1419">
              <w:rPr>
                <w:lang w:bidi="ar-BH"/>
              </w:rPr>
              <w:t>a</w:t>
            </w:r>
            <w:r w:rsidRPr="00421D6F">
              <w:rPr>
                <w:lang w:bidi="ar-BH"/>
              </w:rPr>
              <w:t>raj Fund, which supports debt repayment for those in financial distress, particularly inmates in correctional and penal institutions, with the aim of reintegrating them into society</w:t>
            </w:r>
            <w:r w:rsidR="008F1419" w:rsidRPr="00421D6F">
              <w:rPr>
                <w:lang w:bidi="ar-BH"/>
              </w:rPr>
              <w:t xml:space="preserve">. </w:t>
            </w:r>
            <w:r w:rsidRPr="00421D6F">
              <w:rPr>
                <w:lang w:bidi="ar-BH"/>
              </w:rPr>
              <w:t>The country actively promotes alternative solutions like amicable settlements and debt rescheduling instead of imprisonment, emphasizing reconciliatory and humane approaches. Furthermore, there are specific cases in which debtors cannot be imprisoned: if the debtor is under 18 or over 70 years of age, or if the debtor is the spouse or a direct relative of the creditor (with the exception of alimony-related debts).</w:t>
            </w:r>
          </w:p>
        </w:tc>
        <w:tc>
          <w:tcPr>
            <w:tcW w:w="2901" w:type="dxa"/>
          </w:tcPr>
          <w:p w14:paraId="3E2E92B8" w14:textId="77777777" w:rsidR="00F36F15"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 xml:space="preserve"> We commend the issuance of Federal Decree-Law No. </w:t>
            </w:r>
            <w:r w:rsidRPr="00421D6F">
              <w:rPr>
                <w:rFonts w:ascii="Times New Roman" w:eastAsia="Times New Roman" w:hAnsi="Times New Roman" w:cs="Times New Roman"/>
                <w:sz w:val="24"/>
                <w:szCs w:val="24"/>
                <w:lang w:bidi="ar-BH"/>
              </w:rPr>
              <w:lastRenderedPageBreak/>
              <w:t>51 of 2023 on Financial Reorganization and Bankruptcy, which provides safeguards and allows for debt restructuring in lieu of imprisonment. We also applaud the UAE’s efforts to protect individuals’ economic rights and to promote reconciliation and negotiation between parties, in alignment with the country’s vision for enhancing social justice and safeguarding financial rights.</w:t>
            </w:r>
          </w:p>
        </w:tc>
      </w:tr>
      <w:tr w:rsidR="002A4559" w:rsidRPr="00421D6F" w14:paraId="3F9EC8F1" w14:textId="77777777" w:rsidTr="005C5773">
        <w:tc>
          <w:tcPr>
            <w:tcW w:w="1856" w:type="dxa"/>
            <w:vAlign w:val="center"/>
          </w:tcPr>
          <w:p w14:paraId="1A4A53FC" w14:textId="77777777" w:rsidR="00F36F15"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19. Prohibition of Double Jeopardy and the Right to Compensation for Damages</w:t>
            </w:r>
          </w:p>
        </w:tc>
        <w:tc>
          <w:tcPr>
            <w:tcW w:w="5508" w:type="dxa"/>
          </w:tcPr>
          <w:p w14:paraId="30849A5A" w14:textId="1C081B5A" w:rsidR="00F36F15"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UAE laws, including the Criminal Procedure Law, stipulate that a person may not be retried for an offense for which a final judgment has already been issued, whether acquittal or conviction. This guarantees legal certainty and protects individuals from repeated judicial prosecution</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The UAE also ensures the right to challenge the legitimacy of a trial if this principle is violated and guarantees the right to claim compensation for individuals harmed by unlawful arrest or prosecution.</w:t>
            </w:r>
          </w:p>
        </w:tc>
        <w:tc>
          <w:tcPr>
            <w:tcW w:w="2901" w:type="dxa"/>
          </w:tcPr>
          <w:p w14:paraId="6A224430" w14:textId="77777777" w:rsidR="00070B28"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We commend the UAE’s commitment to upholding the rule of law and ensuring legal security for individuals, while safeguarding the rights of the accused and preventing arbitrary legal actions through independent courts and competent judicial bodies dedicated to ensuring justice.</w:t>
            </w:r>
          </w:p>
        </w:tc>
      </w:tr>
      <w:tr w:rsidR="002A4559" w:rsidRPr="00421D6F" w14:paraId="7B508F43" w14:textId="77777777" w:rsidTr="005C5773">
        <w:tc>
          <w:tcPr>
            <w:tcW w:w="1856" w:type="dxa"/>
            <w:vAlign w:val="center"/>
          </w:tcPr>
          <w:p w14:paraId="498FA7C8" w14:textId="77777777" w:rsidR="00F36F15" w:rsidRPr="00421D6F" w:rsidRDefault="00000000" w:rsidP="0032468F">
            <w:pPr>
              <w:bidi w:val="0"/>
              <w:jc w:val="center"/>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20. Treatment of Persons Deprived of Liberty</w:t>
            </w:r>
          </w:p>
        </w:tc>
        <w:tc>
          <w:tcPr>
            <w:tcW w:w="5508" w:type="dxa"/>
          </w:tcPr>
          <w:p w14:paraId="27248284" w14:textId="3D18F033" w:rsidR="009A6F8A" w:rsidRPr="00421D6F" w:rsidRDefault="00000000" w:rsidP="0032468F">
            <w:pPr>
              <w:bidi w:val="0"/>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UAE applies the principles of this Article through the Law on the Regulation of Penal and Correctional Institutions, which emphasizes the protection of the dignity of prisoners regardless of the offense committed, while ensuring access to basic rights such as healthcare, adequate nutrition, and contact with family members.  The UAE is committed to separating pretrial detainees from convicted prisoners to uphold the presumption of innocence</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The country also prioritizes rehabilitation over punishment by providing educational and vocational training programs aimed at reintegrating inmates into society post-release</w:t>
            </w:r>
            <w:r w:rsidR="008F1419" w:rsidRPr="00421D6F">
              <w:rPr>
                <w:rFonts w:ascii="Times New Roman" w:eastAsia="Times New Roman" w:hAnsi="Times New Roman" w:cs="Times New Roman"/>
                <w:sz w:val="24"/>
                <w:szCs w:val="24"/>
                <w:lang w:bidi="ar-BH"/>
              </w:rPr>
              <w:t xml:space="preserve">. </w:t>
            </w:r>
            <w:r w:rsidRPr="00421D6F">
              <w:rPr>
                <w:rFonts w:ascii="Times New Roman" w:eastAsia="Times New Roman" w:hAnsi="Times New Roman" w:cs="Times New Roman"/>
                <w:sz w:val="24"/>
                <w:szCs w:val="24"/>
                <w:lang w:bidi="ar-BH"/>
              </w:rPr>
              <w:t xml:space="preserve">In addition, psychological and social support is offered to detainees, in cooperation with civil society </w:t>
            </w:r>
            <w:r w:rsidRPr="00421D6F">
              <w:rPr>
                <w:rFonts w:ascii="Times New Roman" w:eastAsia="Times New Roman" w:hAnsi="Times New Roman" w:cs="Times New Roman"/>
                <w:sz w:val="24"/>
                <w:szCs w:val="24"/>
                <w:lang w:bidi="ar-BH"/>
              </w:rPr>
              <w:lastRenderedPageBreak/>
              <w:t>organizations, to mitigate the emotional impact of imprisonment.</w:t>
            </w:r>
          </w:p>
        </w:tc>
        <w:tc>
          <w:tcPr>
            <w:tcW w:w="2901" w:type="dxa"/>
          </w:tcPr>
          <w:p w14:paraId="3EAFDA25" w14:textId="77777777" w:rsidR="00F36F15" w:rsidRPr="00421D6F" w:rsidRDefault="00000000" w:rsidP="0032468F">
            <w:pPr>
              <w:bidi w:val="0"/>
              <w:jc w:val="lowKashida"/>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lastRenderedPageBreak/>
              <w:t xml:space="preserve">We commend the integration of penal and correctional institutions in the Emirate of Abu Dhabi under the jurisdiction of the Judicial Department and the renaming of these facilities to "Correction and Rehabilitation Centers.” We also praise the penal and correctional institutions in the Emirate of Dubai for obtaining international accreditation from the American Correctional </w:t>
            </w:r>
            <w:r w:rsidRPr="00421D6F">
              <w:rPr>
                <w:rFonts w:ascii="Times New Roman" w:eastAsia="Times New Roman" w:hAnsi="Times New Roman" w:cs="Times New Roman"/>
                <w:sz w:val="24"/>
                <w:szCs w:val="24"/>
                <w:lang w:bidi="ar-BH"/>
              </w:rPr>
              <w:lastRenderedPageBreak/>
              <w:t>Association (ACA). Furthermore, we welcome the issuance of Federal Decree-Law No. (34) of 2024 on the Regulation of Penal and Correctional Institutions, which will enter into force on April 12, 2025, and provides greater safeguards for inmates.</w:t>
            </w:r>
          </w:p>
        </w:tc>
      </w:tr>
      <w:tr w:rsidR="005C5773" w:rsidRPr="00421D6F" w14:paraId="62016F7C" w14:textId="77777777" w:rsidTr="005C5773">
        <w:tc>
          <w:tcPr>
            <w:tcW w:w="1856" w:type="dxa"/>
            <w:vAlign w:val="center"/>
          </w:tcPr>
          <w:p w14:paraId="2A6CA918"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br w:type="page"/>
              <w:t>21. Respect for the Privacy of Personal Life</w:t>
            </w:r>
          </w:p>
        </w:tc>
        <w:tc>
          <w:tcPr>
            <w:tcW w:w="5508" w:type="dxa"/>
            <w:vAlign w:val="center"/>
          </w:tcPr>
          <w:p w14:paraId="259FC9A0" w14:textId="77777777" w:rsidR="005C5773" w:rsidRPr="00421D6F" w:rsidRDefault="005C5773" w:rsidP="007D0033">
            <w:pPr>
              <w:bidi w:val="0"/>
              <w:jc w:val="left"/>
              <w:rPr>
                <w:rFonts w:ascii="Times New Roman" w:eastAsia="Times New Roman" w:hAnsi="Times New Roman" w:cs="Times New Roman"/>
                <w:sz w:val="24"/>
                <w:szCs w:val="24"/>
                <w:lang w:bidi="ar-BH"/>
              </w:rPr>
            </w:pPr>
            <w:r w:rsidRPr="00421D6F">
              <w:rPr>
                <w:rFonts w:ascii="Times New Roman" w:hAnsi="Times New Roman" w:cs="Times New Roman"/>
                <w:sz w:val="24"/>
                <w:szCs w:val="24"/>
              </w:rPr>
              <w:t>The Constitution guarantees respect for the privacy of personal life under Article 36, as well as freedom of correspondence and communications under Article 31. It also commits to protecting individuals’ personal privacy and safeguarding personal data. This is embodied in Federal Law No. 45 of 2021 on the Protection of Personal Data, which aims to protect personal information and prevent its use or sharing without the prior consent of the owner.</w:t>
            </w:r>
            <w:r w:rsidRPr="00421D6F">
              <w:rPr>
                <w:rFonts w:ascii="Times New Roman" w:hAnsi="Times New Roman" w:cs="Times New Roman"/>
                <w:sz w:val="24"/>
                <w:szCs w:val="24"/>
              </w:rPr>
              <w:br/>
              <w:t>UAE laws also criminalize defamation and attacks on reputation under Federal Decree-Law No. 34 of 2021 on Rumors and Cybercrimes, which penalizes anyone who violates the honor or reputation of individuals through modern communication means such as the internet and social media. Additionally, the UAE guarantees the privacy of personal correspondence, prohibiting interference or surveillance except by judicial order. Judicial and oversight bodies ensure the enforcement of these laws.</w:t>
            </w:r>
          </w:p>
        </w:tc>
        <w:tc>
          <w:tcPr>
            <w:tcW w:w="2901" w:type="dxa"/>
          </w:tcPr>
          <w:p w14:paraId="7E06B2AC"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commend the UAE’s pioneering efforts in protecting privacy and safeguarding individuals’ personal lives, reflecting its firm commitment to the principles of human dignity and digital justice. The UAE stands as a regional model through its advanced legislation—such as the Personal Data Protection Law—which strengthens trust and digital security in society.</w:t>
            </w:r>
          </w:p>
        </w:tc>
      </w:tr>
      <w:tr w:rsidR="005C5773" w:rsidRPr="00421D6F" w14:paraId="3F1CB880" w14:textId="77777777" w:rsidTr="005C5773">
        <w:tc>
          <w:tcPr>
            <w:tcW w:w="1856" w:type="dxa"/>
            <w:vAlign w:val="center"/>
          </w:tcPr>
          <w:p w14:paraId="6C1EE3C0"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22. Recognition of Legal Personality</w:t>
            </w:r>
          </w:p>
        </w:tc>
        <w:tc>
          <w:tcPr>
            <w:tcW w:w="5508" w:type="dxa"/>
            <w:vAlign w:val="center"/>
          </w:tcPr>
          <w:p w14:paraId="781438AE"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guarantees all individuals the recognition of their legal personality, thereby promoting justice and equality before the law. This protection is reflected in federal laws and national legislation that guarantee individuals the right to exercise their legal rights—such as the right to litigate, own property, and enter into contracts—regardless of gender, social status, or economic standing.</w:t>
            </w:r>
            <w:r w:rsidRPr="00421D6F">
              <w:rPr>
                <w:rFonts w:ascii="Times New Roman" w:hAnsi="Times New Roman" w:cs="Times New Roman"/>
                <w:sz w:val="24"/>
                <w:szCs w:val="24"/>
              </w:rPr>
              <w:br/>
              <w:t xml:space="preserve">The UAE also strengthens individuals’ legal identity through the Civil Status Law, which regulates the issuance of legal documents such as ID cards and birth certificates, ensuring official recognition of their legal personality. Furthermore, the </w:t>
            </w:r>
            <w:r w:rsidRPr="00421D6F">
              <w:rPr>
                <w:rFonts w:ascii="Times New Roman" w:eastAsia="Times New Roman" w:hAnsi="Times New Roman" w:cs="Times New Roman"/>
                <w:sz w:val="24"/>
                <w:szCs w:val="24"/>
                <w:lang w:bidi="ar-BH"/>
              </w:rPr>
              <w:t xml:space="preserve">UAE </w:t>
            </w:r>
            <w:r w:rsidRPr="00421D6F">
              <w:rPr>
                <w:rFonts w:ascii="Times New Roman" w:hAnsi="Times New Roman" w:cs="Times New Roman"/>
                <w:sz w:val="24"/>
                <w:szCs w:val="24"/>
              </w:rPr>
              <w:t>provides clear mechanisms to access justice and the right to litigation, allowing individuals to resort to the courts to protect and defend their rights.</w:t>
            </w:r>
          </w:p>
        </w:tc>
        <w:tc>
          <w:tcPr>
            <w:tcW w:w="2901" w:type="dxa"/>
          </w:tcPr>
          <w:p w14:paraId="3ACF55D6"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As civil society, we commend the UAE’s efforts to entrench the principle of recognition of legal personality, emphasizing the importance of its fair legislation that guarantees equality before the law and ensures every individual’s full legal protection—strengthening social justice and the rule of law.</w:t>
            </w:r>
          </w:p>
        </w:tc>
      </w:tr>
      <w:tr w:rsidR="005C5773" w:rsidRPr="00421D6F" w14:paraId="087ABC06" w14:textId="77777777" w:rsidTr="005C5773">
        <w:tc>
          <w:tcPr>
            <w:tcW w:w="1856" w:type="dxa"/>
            <w:vAlign w:val="center"/>
          </w:tcPr>
          <w:p w14:paraId="4BDEE476"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23. Guarantee of the Right to Grievance</w:t>
            </w:r>
          </w:p>
        </w:tc>
        <w:tc>
          <w:tcPr>
            <w:tcW w:w="5508" w:type="dxa"/>
            <w:vAlign w:val="center"/>
          </w:tcPr>
          <w:p w14:paraId="40EF542A" w14:textId="77777777" w:rsidR="005C5773" w:rsidRPr="00421D6F" w:rsidRDefault="005C5773" w:rsidP="007D0033">
            <w:pPr>
              <w:pStyle w:val="Heading4"/>
              <w:shd w:val="clear" w:color="auto" w:fill="FFFFFF"/>
              <w:bidi w:val="0"/>
              <w:jc w:val="left"/>
              <w:rPr>
                <w:rFonts w:ascii="Times New Roman" w:eastAsia="Times New Roman" w:hAnsi="Times New Roman" w:cs="Times New Roman"/>
                <w:i w:val="0"/>
                <w:iCs w:val="0"/>
                <w:color w:val="auto"/>
                <w:sz w:val="24"/>
                <w:szCs w:val="24"/>
                <w:lang w:bidi="ar-BH"/>
              </w:rPr>
            </w:pPr>
            <w:r w:rsidRPr="00421D6F">
              <w:rPr>
                <w:rFonts w:ascii="Times New Roman" w:eastAsia="Times New Roman" w:hAnsi="Times New Roman" w:cs="Times New Roman"/>
                <w:i w:val="0"/>
                <w:iCs w:val="0"/>
                <w:color w:val="auto"/>
                <w:sz w:val="24"/>
                <w:szCs w:val="24"/>
                <w:lang w:bidi="ar-BH"/>
              </w:rPr>
              <w:t>The Constitution guarantees the right to grievance and complaint under Article 41 and ensures the right of redress for all individuals in cases of violations of their rights and freedoms through an independent judiciary. This system enables individuals to access justice and obtain appropriate compensation when harmed by violations—whether committed by private individuals or government officials</w:t>
            </w:r>
            <w:r w:rsidRPr="00421D6F">
              <w:rPr>
                <w:rFonts w:ascii="Times New Roman" w:eastAsia="Times New Roman" w:hAnsi="Times New Roman" w:cs="Times New Roman"/>
                <w:i w:val="0"/>
                <w:iCs w:val="0"/>
                <w:color w:val="auto"/>
                <w:sz w:val="24"/>
                <w:szCs w:val="24"/>
                <w:rtl/>
                <w:lang w:bidi="ar-BH"/>
              </w:rPr>
              <w:t>.</w:t>
            </w:r>
          </w:p>
          <w:p w14:paraId="387CAC2B" w14:textId="77777777" w:rsidR="005C5773" w:rsidRPr="00421D6F" w:rsidRDefault="005C5773" w:rsidP="007D0033">
            <w:pPr>
              <w:pStyle w:val="Heading4"/>
              <w:shd w:val="clear" w:color="auto" w:fill="FFFFFF"/>
              <w:bidi w:val="0"/>
              <w:spacing w:before="0"/>
              <w:jc w:val="left"/>
              <w:rPr>
                <w:rFonts w:ascii="Times New Roman" w:eastAsia="Times New Roman" w:hAnsi="Times New Roman" w:cs="Times New Roman"/>
                <w:color w:val="auto"/>
                <w:sz w:val="24"/>
                <w:szCs w:val="24"/>
                <w:rtl/>
                <w:lang w:bidi="ar-BH"/>
              </w:rPr>
            </w:pPr>
            <w:r w:rsidRPr="00421D6F">
              <w:rPr>
                <w:rFonts w:ascii="Times New Roman" w:eastAsia="Times New Roman" w:hAnsi="Times New Roman" w:cs="Times New Roman"/>
                <w:i w:val="0"/>
                <w:iCs w:val="0"/>
                <w:color w:val="auto"/>
                <w:sz w:val="24"/>
                <w:szCs w:val="24"/>
                <w:lang w:bidi="ar-BH"/>
              </w:rPr>
              <w:t>The UAE provides effective legal mechanisms for grievances, including administrative courts and human rights bodies and committees that receive complaints and support individuals in cases of violations. Additionally, the UAE upholds legal accountability through legislation such as Federal Decree-Law No. 24 of 2021 on the Accountability of Ministers and Senior Federal Officials—reinforcing the principles of justice and responsibility across all state institutions</w:t>
            </w:r>
            <w:r w:rsidRPr="00421D6F">
              <w:rPr>
                <w:rFonts w:ascii="Times New Roman" w:eastAsia="Times New Roman" w:hAnsi="Times New Roman" w:cs="Times New Roman"/>
                <w:i w:val="0"/>
                <w:iCs w:val="0"/>
                <w:color w:val="auto"/>
                <w:sz w:val="24"/>
                <w:szCs w:val="24"/>
                <w:rtl/>
                <w:lang w:bidi="ar-BH"/>
              </w:rPr>
              <w:t>.</w:t>
            </w:r>
          </w:p>
        </w:tc>
        <w:tc>
          <w:tcPr>
            <w:tcW w:w="2901" w:type="dxa"/>
          </w:tcPr>
          <w:p w14:paraId="21E5D074"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commend the issuance of Federal Decree-Law No. 24 of 2021, which strengthens justice and accountability in all state institutions, and we support the National Human Rights Authority’s role in launching a complaint-receiving mechanism.</w:t>
            </w:r>
          </w:p>
        </w:tc>
      </w:tr>
      <w:tr w:rsidR="005C5773" w:rsidRPr="00421D6F" w14:paraId="75B3A217" w14:textId="77777777" w:rsidTr="005C5773">
        <w:tc>
          <w:tcPr>
            <w:tcW w:w="1856" w:type="dxa"/>
            <w:vAlign w:val="center"/>
          </w:tcPr>
          <w:p w14:paraId="678BE966"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24. Exercising Political Rights</w:t>
            </w:r>
          </w:p>
        </w:tc>
        <w:tc>
          <w:tcPr>
            <w:tcW w:w="5508" w:type="dxa"/>
          </w:tcPr>
          <w:p w14:paraId="7D85E93C" w14:textId="77777777" w:rsidR="005C5773" w:rsidRPr="00421D6F" w:rsidRDefault="005C5773" w:rsidP="007D0033">
            <w:pPr>
              <w:bidi w:val="0"/>
              <w:jc w:val="left"/>
              <w:rPr>
                <w:rFonts w:ascii="Times New Roman" w:eastAsia="Times New Roman" w:hAnsi="Times New Roman" w:cs="Times New Roman"/>
                <w:sz w:val="24"/>
                <w:szCs w:val="24"/>
                <w:rtl/>
              </w:rPr>
            </w:pPr>
            <w:r w:rsidRPr="00421D6F">
              <w:rPr>
                <w:rFonts w:ascii="Times New Roman" w:hAnsi="Times New Roman" w:cs="Times New Roman"/>
                <w:sz w:val="24"/>
                <w:szCs w:val="24"/>
              </w:rPr>
              <w:t>The Constitution guarantees the right to exercise political rights in several articles—particularly Articles 14, 25, 30, 33, and 35—which ensure equality, social justice, equal opportunity, equality before the law, non-discrimination, eligibility for public office, respect for freedom of opinion and expression, the right to assemble, and the right to form associations.</w:t>
            </w:r>
            <w:r w:rsidRPr="00421D6F">
              <w:rPr>
                <w:rFonts w:ascii="Times New Roman" w:hAnsi="Times New Roman" w:cs="Times New Roman"/>
                <w:sz w:val="24"/>
                <w:szCs w:val="24"/>
              </w:rPr>
              <w:br/>
              <w:t>The UAE guarantees every citizen the right to run for office, participate in, and vote for the Federal National Council, as well as broader participation in public life. It also ensures the right to peaceful assembly in accordance with the highest human rights standards.</w:t>
            </w:r>
          </w:p>
        </w:tc>
        <w:tc>
          <w:tcPr>
            <w:tcW w:w="2901" w:type="dxa"/>
          </w:tcPr>
          <w:p w14:paraId="15519451"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affirm the UAE’s commitment to guaranteeing political rights, while appreciating the UAE’s establishment of the necessary legal safeguards to ensure national security and protect public rights—balancing respect for individual freedoms with public order, in line with its steadfast commitment to human rights and democratic participation.</w:t>
            </w:r>
          </w:p>
        </w:tc>
      </w:tr>
      <w:tr w:rsidR="005C5773" w:rsidRPr="00421D6F" w14:paraId="4C864D7E" w14:textId="77777777" w:rsidTr="005C5773">
        <w:tc>
          <w:tcPr>
            <w:tcW w:w="1856" w:type="dxa"/>
            <w:vAlign w:val="center"/>
          </w:tcPr>
          <w:p w14:paraId="075E552E"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25. Rights of Minorities and Their Religious Freedoms</w:t>
            </w:r>
          </w:p>
        </w:tc>
        <w:tc>
          <w:tcPr>
            <w:tcW w:w="5508" w:type="dxa"/>
            <w:vAlign w:val="center"/>
          </w:tcPr>
          <w:p w14:paraId="48F66CE6"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safeguards minority rights and ensures they can live in a socially suitable environment with decent living conditions. The country has gained a distinguished position through policies and initiatives promoting tolerance and peaceful coexistence, benefiting over 200 nationalities residing there.</w:t>
            </w:r>
            <w:r w:rsidRPr="00421D6F">
              <w:rPr>
                <w:rFonts w:ascii="Times New Roman" w:hAnsi="Times New Roman" w:cs="Times New Roman"/>
                <w:sz w:val="24"/>
                <w:szCs w:val="24"/>
              </w:rPr>
              <w:br/>
              <w:t>The Constitution guarantees freedom of belief and the practice of religious rituals, and the building of places of worship (Article 32). Article 18 permits the establishment of private schools and the exercise of cultural rights. The UAE also allows the formation of social associations, clubs, and economic councils, as well as ownership and management of various commercial and investment activities.</w:t>
            </w:r>
          </w:p>
        </w:tc>
        <w:tc>
          <w:tcPr>
            <w:tcW w:w="2901" w:type="dxa"/>
          </w:tcPr>
          <w:p w14:paraId="30BC8D52" w14:textId="77777777" w:rsidR="005C5773" w:rsidRPr="00421D6F" w:rsidRDefault="005C5773" w:rsidP="007D0033">
            <w:pPr>
              <w:bidi w:val="0"/>
              <w:jc w:val="left"/>
              <w:rPr>
                <w:rFonts w:ascii="Times New Roman" w:eastAsia="Times New Roman" w:hAnsi="Times New Roman" w:cs="Times New Roman"/>
                <w:sz w:val="24"/>
                <w:szCs w:val="24"/>
                <w:rtl/>
              </w:rPr>
            </w:pPr>
            <w:r w:rsidRPr="00421D6F">
              <w:rPr>
                <w:rFonts w:ascii="Times New Roman" w:hAnsi="Times New Roman" w:cs="Times New Roman"/>
                <w:sz w:val="24"/>
                <w:szCs w:val="24"/>
              </w:rPr>
              <w:t>We commend the issuance of Federal Law No. 9 of 2023 regulating places of worship for non-Muslims, reflecting the UAE’s deep commitment to promoting tolerance and peaceful coexistence between different religions and cultures—a pioneering step toward entrenching religious freedom and mutual respect.</w:t>
            </w:r>
          </w:p>
        </w:tc>
      </w:tr>
      <w:tr w:rsidR="005C5773" w:rsidRPr="00421D6F" w14:paraId="1D7A44C5" w14:textId="77777777" w:rsidTr="005C5773">
        <w:tc>
          <w:tcPr>
            <w:tcW w:w="1856" w:type="dxa"/>
            <w:vAlign w:val="center"/>
          </w:tcPr>
          <w:p w14:paraId="5757B848"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 xml:space="preserve">26 &amp; 27. Freedom of </w:t>
            </w:r>
            <w:r w:rsidRPr="00421D6F">
              <w:rPr>
                <w:rFonts w:ascii="Times New Roman" w:hAnsi="Times New Roman" w:cs="Times New Roman"/>
                <w:sz w:val="24"/>
                <w:szCs w:val="24"/>
              </w:rPr>
              <w:lastRenderedPageBreak/>
              <w:t>Movement and Residence</w:t>
            </w:r>
          </w:p>
        </w:tc>
        <w:tc>
          <w:tcPr>
            <w:tcW w:w="5508" w:type="dxa"/>
          </w:tcPr>
          <w:p w14:paraId="5B45965E" w14:textId="77777777" w:rsidR="005C5773" w:rsidRPr="00421D6F" w:rsidRDefault="005C5773" w:rsidP="007D0033">
            <w:pPr>
              <w:pStyle w:val="NormalWeb"/>
            </w:pPr>
            <w:r w:rsidRPr="00421D6F">
              <w:lastRenderedPageBreak/>
              <w:t xml:space="preserve">The UAE’s Constitution, in Article 29, guarantees freedom of movement and residence, ensuring that the </w:t>
            </w:r>
            <w:r w:rsidRPr="00421D6F">
              <w:lastRenderedPageBreak/>
              <w:t>UAE grants every person legally present on its territory the freedom to move and choose their place of residence within the framework of applicable legislation. This strengthens individuals’ rights to move freely within the UAE’s borders. The UAE is also committed to not expelling any person who is not its citizen and who is legally present on its territory except pursuant to a legal decision issued in accordance with applicable procedures, while enabling the person to submit an appeal to the competent authority, thereby safeguarding individuals’ rights in the event of expulsion. At the same time, the UAE is keen to prevent collective expulsion, reflecting its commitment to the rule of law and human rights, and reinforcing its standing as a key supporter of justice and individual rights.</w:t>
            </w:r>
          </w:p>
          <w:p w14:paraId="17A689CA" w14:textId="77777777" w:rsidR="005C5773" w:rsidRPr="00421D6F" w:rsidRDefault="005C5773" w:rsidP="007D0033">
            <w:pPr>
              <w:pStyle w:val="NormalWeb"/>
            </w:pPr>
            <w:r w:rsidRPr="00421D6F">
              <w:t xml:space="preserve">The UAE is committed to preventing any arbitrary or unlawful measure that would prohibit individuals from leaving its territory or impose a ban on their residence in any part of the country. It also guarantees the right of return for all citizens who have left the country and does not impose any arbitrary restrictions on their movement. </w:t>
            </w:r>
          </w:p>
          <w:p w14:paraId="6B00C49A" w14:textId="77777777" w:rsidR="005C5773" w:rsidRPr="00421D6F" w:rsidRDefault="005C5773" w:rsidP="007D0033">
            <w:pPr>
              <w:bidi w:val="0"/>
              <w:jc w:val="left"/>
              <w:rPr>
                <w:rFonts w:ascii="Times New Roman" w:eastAsia="Times New Roman" w:hAnsi="Times New Roman" w:cs="Times New Roman"/>
                <w:sz w:val="24"/>
                <w:szCs w:val="24"/>
                <w:rtl/>
                <w:lang w:bidi="ar-BH"/>
              </w:rPr>
            </w:pPr>
          </w:p>
        </w:tc>
        <w:tc>
          <w:tcPr>
            <w:tcW w:w="2901" w:type="dxa"/>
          </w:tcPr>
          <w:p w14:paraId="178326F5"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eastAsia="Times New Roman" w:hAnsi="Times New Roman" w:cs="Times New Roman"/>
                <w:sz w:val="24"/>
                <w:szCs w:val="24"/>
                <w:lang w:bidi="ar-BH"/>
              </w:rPr>
              <w:lastRenderedPageBreak/>
              <w:t xml:space="preserve">The UAE’s commitment to guaranteeing freedom of </w:t>
            </w:r>
            <w:r w:rsidRPr="00421D6F">
              <w:rPr>
                <w:rFonts w:ascii="Times New Roman" w:eastAsia="Times New Roman" w:hAnsi="Times New Roman" w:cs="Times New Roman"/>
                <w:sz w:val="24"/>
                <w:szCs w:val="24"/>
                <w:lang w:bidi="ar-BH"/>
              </w:rPr>
              <w:lastRenderedPageBreak/>
              <w:t>movement for individuals legally present on its territory, as well as protecting them from arbitrary expulsion, reflects its humanitarian vision and respect for individual rights. We value these policies, which strengthen the rule of law and uphold justice and human dignity, contributing to the creation of a tolerant and safe society that guarantees all their fundamental rights</w:t>
            </w:r>
            <w:r w:rsidRPr="00421D6F">
              <w:rPr>
                <w:rFonts w:ascii="Times New Roman" w:eastAsia="Times New Roman" w:hAnsi="Times New Roman" w:cs="Times New Roman"/>
                <w:sz w:val="24"/>
                <w:szCs w:val="24"/>
                <w:rtl/>
                <w:lang w:bidi="ar-BH"/>
              </w:rPr>
              <w:t>.</w:t>
            </w:r>
          </w:p>
        </w:tc>
      </w:tr>
      <w:tr w:rsidR="005C5773" w:rsidRPr="00421D6F" w14:paraId="71C2C080" w14:textId="77777777" w:rsidTr="005C5773">
        <w:tc>
          <w:tcPr>
            <w:tcW w:w="1856" w:type="dxa"/>
            <w:vAlign w:val="center"/>
          </w:tcPr>
          <w:p w14:paraId="76AD0325"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28. Political Asylum</w:t>
            </w:r>
          </w:p>
        </w:tc>
        <w:tc>
          <w:tcPr>
            <w:tcW w:w="5508" w:type="dxa"/>
            <w:vAlign w:val="center"/>
          </w:tcPr>
          <w:p w14:paraId="665E8A84"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guarantees the right to political asylum in accordance with the rules and laws in force, and Article 38 of the Constitution prohibits the extradition of political refugees. The UAE provides a safe haven for persons who are persecuted in their home countries because of their political opinions or affiliations, affirming their right to asylum without facing risks or threats. The UAE is also committed to the policy of prohibiting the extradition of political refugees to countries where they may face persecution or torture.</w:t>
            </w:r>
          </w:p>
        </w:tc>
        <w:tc>
          <w:tcPr>
            <w:tcW w:w="2901" w:type="dxa"/>
          </w:tcPr>
          <w:p w14:paraId="53F4CF55"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UAE’s policy of providing a safe haven for individuals fleeing political persecution reflects its firm commitment to humanitarian principles and individual rights.</w:t>
            </w:r>
          </w:p>
        </w:tc>
      </w:tr>
      <w:tr w:rsidR="005C5773" w:rsidRPr="00421D6F" w14:paraId="7182F56B" w14:textId="77777777" w:rsidTr="005C5773">
        <w:tc>
          <w:tcPr>
            <w:tcW w:w="1856" w:type="dxa"/>
            <w:vAlign w:val="center"/>
          </w:tcPr>
          <w:p w14:paraId="575FD96C"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29. The Right to Nationality</w:t>
            </w:r>
          </w:p>
        </w:tc>
        <w:tc>
          <w:tcPr>
            <w:tcW w:w="5508" w:type="dxa"/>
          </w:tcPr>
          <w:p w14:paraId="1324E5DE"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The UAE’s Constitution, in Article 8, guarantees the right to enjoy nationality and stipulates that nationality may not be revoked or withdrawn except in accordance with the law. The laws and regulations governing nationality set out the rules for acquiring and granting nationality. Accordingly, the UAE respects the right to enjoy nationality; however, the granting of nationality is subject to its own specific criteria, such as lineage and long-term residence. Regarding enabling children to acquire the nationality of an Emirati mother, legislation has been developed to allow the granting of nationality to the children of </w:t>
            </w:r>
            <w:r w:rsidRPr="00421D6F">
              <w:rPr>
                <w:rFonts w:ascii="Times New Roman" w:hAnsi="Times New Roman" w:cs="Times New Roman"/>
                <w:sz w:val="24"/>
                <w:szCs w:val="24"/>
              </w:rPr>
              <w:lastRenderedPageBreak/>
              <w:t>female citizens under specific conditions. Furthermore, UAE law allows its citizens to acquire another nationality, but does not permit dual nationality.</w:t>
            </w:r>
          </w:p>
        </w:tc>
        <w:tc>
          <w:tcPr>
            <w:tcW w:w="2901" w:type="dxa"/>
          </w:tcPr>
          <w:p w14:paraId="09934321"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 xml:space="preserve">We commend the legislative developments in the UAE that have allowed the children of Emirati women to obtain nationality—a significant step toward promoting gender justice. This step reflects the UAE’s commitment to women’s rights and to the equal </w:t>
            </w:r>
            <w:r w:rsidRPr="00421D6F">
              <w:rPr>
                <w:rFonts w:ascii="Times New Roman" w:hAnsi="Times New Roman" w:cs="Times New Roman"/>
                <w:sz w:val="24"/>
                <w:szCs w:val="24"/>
              </w:rPr>
              <w:lastRenderedPageBreak/>
              <w:t>human rights of all individuals.</w:t>
            </w:r>
          </w:p>
        </w:tc>
      </w:tr>
      <w:tr w:rsidR="005C5773" w:rsidRPr="00421D6F" w14:paraId="0329382B" w14:textId="77777777" w:rsidTr="005C5773">
        <w:tc>
          <w:tcPr>
            <w:tcW w:w="1856" w:type="dxa"/>
            <w:vAlign w:val="center"/>
          </w:tcPr>
          <w:p w14:paraId="480DFF0F"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30. The Right to Freedom of Thought, Belief, and Religion</w:t>
            </w:r>
          </w:p>
        </w:tc>
        <w:tc>
          <w:tcPr>
            <w:tcW w:w="5508" w:type="dxa"/>
            <w:vAlign w:val="center"/>
          </w:tcPr>
          <w:p w14:paraId="5BFEBF95" w14:textId="77777777" w:rsidR="005C5773" w:rsidRPr="00421D6F" w:rsidRDefault="005C5773" w:rsidP="007D0033">
            <w:pPr>
              <w:bidi w:val="0"/>
              <w:jc w:val="left"/>
              <w:rPr>
                <w:rFonts w:ascii="Times New Roman" w:eastAsia="Times New Roman" w:hAnsi="Times New Roman" w:cs="Times New Roman"/>
                <w:sz w:val="24"/>
                <w:szCs w:val="24"/>
                <w:lang w:bidi="ar-BH"/>
              </w:rPr>
            </w:pPr>
            <w:r w:rsidRPr="00421D6F">
              <w:rPr>
                <w:rFonts w:ascii="Times New Roman" w:hAnsi="Times New Roman" w:cs="Times New Roman"/>
                <w:sz w:val="24"/>
                <w:szCs w:val="24"/>
              </w:rPr>
              <w:t>The UAE is committed to individuals’ rights to freedom of thought, belief, and religion in accordance with Article 32 of its Constitution, respecting every person’s right to practice their religious and intellectual beliefs, with the necessary balance to protect public order, public safety, and public health. The UAE also respects individuals’ freedom to manifest their religion and practice their religious rites within a framework of tolerance, while respecting the rights and freedoms of others. In addition, the UAE grants parents and guardians the freedom to raise their children religiously and morally in accordance with their own wishes and beliefs.</w:t>
            </w:r>
          </w:p>
        </w:tc>
        <w:tc>
          <w:tcPr>
            <w:tcW w:w="2901" w:type="dxa"/>
          </w:tcPr>
          <w:p w14:paraId="5708AEDD"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emphasize the importance of the UAE’s efforts to establish strict monitoring mechanisms to prevent the misuse of the right to freedom of religion and belief for introducing doctrines or practices that contradict the values of tolerance or disrupt public order.</w:t>
            </w:r>
          </w:p>
        </w:tc>
      </w:tr>
      <w:tr w:rsidR="005C5773" w:rsidRPr="00421D6F" w14:paraId="16250AA5" w14:textId="77777777" w:rsidTr="005C5773">
        <w:tc>
          <w:tcPr>
            <w:tcW w:w="1856" w:type="dxa"/>
            <w:vAlign w:val="center"/>
          </w:tcPr>
          <w:p w14:paraId="5F5C81F7"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31. Respect for Private Property</w:t>
            </w:r>
          </w:p>
        </w:tc>
        <w:tc>
          <w:tcPr>
            <w:tcW w:w="5508" w:type="dxa"/>
          </w:tcPr>
          <w:p w14:paraId="7AF2D159"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Constitution, in Article 21, guarantees the protection of private property and does not allow expropriation except by law. Article 39 of the Constitution also prohibits the public confiscation of funds. The UAE guarantees the protection of private property rights through laws and legislation that prevent any unlawful interference with individuals’ possessions. The UAE is committed to providing a transparent legal environment that guarantees individuals their right to own property and prohibits the unlawful confiscation of funds.</w:t>
            </w:r>
          </w:p>
        </w:tc>
        <w:tc>
          <w:tcPr>
            <w:tcW w:w="2901" w:type="dxa"/>
          </w:tcPr>
          <w:p w14:paraId="50563466"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recommend intensifying awareness efforts on private property rights, stressing the importance of individuals understanding their legal rights in this regard, through awareness campaigns and educational programs.</w:t>
            </w:r>
          </w:p>
        </w:tc>
      </w:tr>
      <w:tr w:rsidR="005C5773" w:rsidRPr="00421D6F" w14:paraId="2CDF231B" w14:textId="77777777" w:rsidTr="005C5773">
        <w:tc>
          <w:tcPr>
            <w:tcW w:w="1856" w:type="dxa"/>
            <w:vAlign w:val="center"/>
          </w:tcPr>
          <w:p w14:paraId="26160A66"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32. Freedom of the Media, Opinion, and Expression</w:t>
            </w:r>
          </w:p>
        </w:tc>
        <w:tc>
          <w:tcPr>
            <w:tcW w:w="5508" w:type="dxa"/>
          </w:tcPr>
          <w:p w14:paraId="3699B635" w14:textId="77777777" w:rsidR="005C5773" w:rsidRPr="00421D6F" w:rsidRDefault="005C5773" w:rsidP="007D0033">
            <w:pPr>
              <w:pStyle w:val="NormalWeb"/>
              <w:spacing w:before="0" w:beforeAutospacing="0" w:after="0" w:afterAutospacing="0"/>
              <w:rPr>
                <w:rtl/>
                <w:lang w:bidi="ar-BH"/>
              </w:rPr>
            </w:pPr>
            <w:r w:rsidRPr="00421D6F">
              <w:t>Freedom of opinion and expression in the UAE is based on the UAE’s Constitution, which guarantees individuals’ freedom of expression in accordance with applicable laws. Article 30 of the UAE Constitution states: “Freedom of opinion and expressing it verbally, in writing, and by all other means of expression is guaranteed within the limits of the law.” This framework reflects the UAE’s approach to striking a balance between protecting individual rights and maintaining social peace. The relevant laws include Federal Decree-Law No. 34 of 2023 on Combating Discrimination, Hatred, and Extremism; Federal Decree-Law No. 34 of 2021 on Combating Rumors and Cybercrimes; Federal Decree-Law No. 55 of 2023 on Regulating the Media; Federal Law No. 3 of 2016 on the Rights of the Child (“Wadeema’s Law”); and Federal Decree-Law No. 45 of 2021 on the Protection of Personal Data.</w:t>
            </w:r>
          </w:p>
        </w:tc>
        <w:tc>
          <w:tcPr>
            <w:tcW w:w="2901" w:type="dxa"/>
            <w:vAlign w:val="center"/>
          </w:tcPr>
          <w:p w14:paraId="41EFF036" w14:textId="77777777" w:rsidR="005C5773" w:rsidRPr="00421D6F" w:rsidRDefault="005C5773" w:rsidP="007D0033">
            <w:pPr>
              <w:bidi w:val="0"/>
              <w:jc w:val="left"/>
              <w:rPr>
                <w:rFonts w:ascii="Times New Roman" w:eastAsia="Times New Roman" w:hAnsi="Times New Roman" w:cs="Times New Roman"/>
                <w:sz w:val="24"/>
                <w:szCs w:val="24"/>
              </w:rPr>
            </w:pPr>
            <w:r w:rsidRPr="00421D6F">
              <w:rPr>
                <w:rFonts w:ascii="Times New Roman" w:hAnsi="Times New Roman" w:cs="Times New Roman"/>
                <w:sz w:val="24"/>
                <w:szCs w:val="24"/>
              </w:rPr>
              <w:t xml:space="preserve">We commend the issuance of Federal Decree-Law No. 55 of 2023 on Regulating the Media, and its guarantees of all rights related to freedom of the media and the practice of opinion and expression, in accordance with the values and principles encouraged by the Arab Charter on Human Rights and all relevant international laws and instruments. We also recognize its contribution to enhancing the enjoyment of these rights within their legal framework, ensuring their exercise in the digital world, and protecting the </w:t>
            </w:r>
            <w:r w:rsidRPr="00421D6F">
              <w:rPr>
                <w:rFonts w:ascii="Times New Roman" w:hAnsi="Times New Roman" w:cs="Times New Roman"/>
                <w:sz w:val="24"/>
                <w:szCs w:val="24"/>
              </w:rPr>
              <w:lastRenderedPageBreak/>
              <w:t>rights and freedoms of society.</w:t>
            </w:r>
          </w:p>
        </w:tc>
      </w:tr>
      <w:tr w:rsidR="005C5773" w:rsidRPr="00421D6F" w14:paraId="7BE73455" w14:textId="77777777" w:rsidTr="005C5773">
        <w:tc>
          <w:tcPr>
            <w:tcW w:w="1856" w:type="dxa"/>
            <w:vAlign w:val="center"/>
          </w:tcPr>
          <w:p w14:paraId="07529456"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33. The Right to Form and Protect a Family</w:t>
            </w:r>
          </w:p>
        </w:tc>
        <w:tc>
          <w:tcPr>
            <w:tcW w:w="5508" w:type="dxa"/>
          </w:tcPr>
          <w:p w14:paraId="06114C56" w14:textId="77777777" w:rsidR="005C5773" w:rsidRPr="00421D6F" w:rsidRDefault="005C5773" w:rsidP="007D0033">
            <w:pPr>
              <w:pStyle w:val="NormalWeb"/>
              <w:spacing w:before="0" w:beforeAutospacing="0" w:after="0" w:afterAutospacing="0"/>
              <w:rPr>
                <w:rtl/>
              </w:rPr>
            </w:pPr>
            <w:r w:rsidRPr="00421D6F">
              <w:t>The Constitution guarantees this right in Article 15, which affirms that “the family is the basis of society, founded on religion, morality, and love of the homeland, and the law shall safeguard its existence, preserve it, and protect it from corruption.” The UAE is keen to give special attention to the family, considering it the basic unit of society, with marriage between a man and a woman being the foundation for its formation. The UAE guarantees the right of both men and women to marry and establish a family in accordance with legal requirements, stipulating that marriage must be based on the full consent of both parties without coercion, and organizing the rights and obligations related to marriage through the Personal Status Law. The UAE is committed to protecting the family and strengthening its bonds, prohibiting all forms of violence and abuse among family members—particularly against women and children—under the Law on Protection from Domestic Violence. The UAE also takes measures to protect motherhood, childhood, the elderly, and persons with disabilities, and ensures the necessary care for adolescents and youth to support their physical and mental development. The UAE guarantees the protection of children’s rights in an atmosphere of freedom and dignity under the Child Rights Law, emphasizing that the best interests of the child are the primary consideration in all decisions concerning them. Furthermore, the UAE takes the necessary measures to guarantee young people’s right to practice physical sports, enhancing their well-being and physical health.</w:t>
            </w:r>
          </w:p>
        </w:tc>
        <w:tc>
          <w:tcPr>
            <w:tcW w:w="2901" w:type="dxa"/>
            <w:vAlign w:val="center"/>
          </w:tcPr>
          <w:p w14:paraId="60AA2F58"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commend the issuance of Federal Decree-Law No. 41 of 2022 on Civil Personal Status, which includes provisions guaranteeing the right to form and protect a family for non-Muslims. We also commend the issuance of the Law on Protection from Domestic Violence under Federal Decree-Law No. 13 of 2024, and the establishment of a dedicated Ministry for the Family.</w:t>
            </w:r>
          </w:p>
        </w:tc>
      </w:tr>
      <w:tr w:rsidR="005C5773" w:rsidRPr="00421D6F" w14:paraId="4F45266E" w14:textId="77777777" w:rsidTr="005C5773">
        <w:tc>
          <w:tcPr>
            <w:tcW w:w="1856" w:type="dxa"/>
            <w:vAlign w:val="center"/>
          </w:tcPr>
          <w:p w14:paraId="6FCF9A43"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34. The Right to Work</w:t>
            </w:r>
          </w:p>
        </w:tc>
        <w:tc>
          <w:tcPr>
            <w:tcW w:w="5508" w:type="dxa"/>
            <w:vAlign w:val="center"/>
          </w:tcPr>
          <w:p w14:paraId="0A5DE013" w14:textId="77777777" w:rsidR="005C5773" w:rsidRPr="00421D6F" w:rsidRDefault="005C5773" w:rsidP="007D0033">
            <w:pPr>
              <w:pStyle w:val="NormalWeb"/>
              <w:spacing w:before="0" w:beforeAutospacing="0" w:after="0" w:afterAutospacing="0"/>
              <w:rPr>
                <w:rtl/>
                <w:lang w:bidi="ar-BH"/>
              </w:rPr>
            </w:pPr>
            <w:r w:rsidRPr="00421D6F">
              <w:t xml:space="preserve">The Constitution guarantees the right to work in Article 20, affirming that “society values work as a fundamental pillar of its progress, and shall strive to provide it to citizens, prepare them for it, and create suitable conditions for it through legislation that safeguards the rights of workers and the interests of employers in light of advanced labor laws.” Work is a natural right for every citizen, and the UAE works to ensure equal opportunities in the labor market without discrimination based on race, color, gender, religion, or other grounds. The UAE seeks to provide a fair and comfortable work environment for all workers, guaranteeing their rights to fair pay, regulated working hours, rest, paid leave, and occupational health and safety—particularly for women, children, and persons </w:t>
            </w:r>
            <w:r w:rsidRPr="00421D6F">
              <w:lastRenderedPageBreak/>
              <w:t>with disabilities. The UAE is committed to protecting children’s rights in employment, prohibiting the economic exploitation of children, setting a minimum age for employment, and establishing appropriate systems for working hours and conditions. The UAE also imposes penalties to ensure the effective enforcement of these rights. Regarding gender equality, the UAE is committed to non-discrimination between men and women in training and employment, and guarantees equal pay for work of equal value under the Equal Pay Law. The UAE also provides the necessary protection for migrant workers in accordance with local legislation, including the Labor Relations Law and the Domestic Workers Law, and has joined nine International Labour Organization conventions.</w:t>
            </w:r>
          </w:p>
        </w:tc>
        <w:tc>
          <w:tcPr>
            <w:tcW w:w="2901" w:type="dxa"/>
          </w:tcPr>
          <w:p w14:paraId="4E69E363" w14:textId="77777777" w:rsidR="005C5773" w:rsidRPr="00421D6F" w:rsidRDefault="005C5773" w:rsidP="007D0033">
            <w:pPr>
              <w:bidi w:val="0"/>
              <w:jc w:val="left"/>
              <w:rPr>
                <w:rFonts w:ascii="Times New Roman" w:eastAsia="Times New Roman" w:hAnsi="Times New Roman" w:cs="Times New Roman"/>
                <w:sz w:val="24"/>
                <w:szCs w:val="24"/>
                <w:rtl/>
              </w:rPr>
            </w:pPr>
            <w:r w:rsidRPr="00421D6F">
              <w:rPr>
                <w:rFonts w:ascii="Times New Roman" w:hAnsi="Times New Roman" w:cs="Times New Roman"/>
                <w:sz w:val="24"/>
                <w:szCs w:val="24"/>
              </w:rPr>
              <w:lastRenderedPageBreak/>
              <w:t xml:space="preserve">We commend the UAE’s attention to the right to work and its guarantees for all, and praise the issuance of Federal Decree-Law No. 49 of 2022 on Human Resources in the Federal Government, Federal Decree-Law No. 13 of 2022 on Unemployment Insurance, Federal Decree-Law No. 9 of 2022 on Domestic Workers, and Federal Decree-Law No. 33 of 2021 on the Regulation </w:t>
            </w:r>
            <w:r w:rsidRPr="00421D6F">
              <w:rPr>
                <w:rFonts w:ascii="Times New Roman" w:hAnsi="Times New Roman" w:cs="Times New Roman"/>
                <w:sz w:val="24"/>
                <w:szCs w:val="24"/>
              </w:rPr>
              <w:lastRenderedPageBreak/>
              <w:t>of Labor Relations, which give a comprehensive and integrated character to the UAE’s attention to this right.</w:t>
            </w:r>
          </w:p>
        </w:tc>
      </w:tr>
      <w:tr w:rsidR="005C5773" w:rsidRPr="00421D6F" w14:paraId="1A01AA1C" w14:textId="77777777" w:rsidTr="005C5773">
        <w:tc>
          <w:tcPr>
            <w:tcW w:w="1856" w:type="dxa"/>
            <w:vAlign w:val="center"/>
          </w:tcPr>
          <w:p w14:paraId="2AE01F28"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35. Freedom to Form Associations and Trade Unions</w:t>
            </w:r>
          </w:p>
        </w:tc>
        <w:tc>
          <w:tcPr>
            <w:tcW w:w="5508" w:type="dxa"/>
          </w:tcPr>
          <w:p w14:paraId="73180929"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Constitution affirms in Article 33 that “freedom of assembly and the formation of associations is guaranteed within the limits of the law.” The UAE is keen to regulate and guarantee this right for all without discrimination. Federal Decree-Law No. 50 of 2023 on Regulating Public Benefit Organizations governs all services and harnesses all means to license, register, operate, and activate all associations and civil society institutions, guaranteeing the exercise of this right for all without discrimination.</w:t>
            </w:r>
          </w:p>
        </w:tc>
        <w:tc>
          <w:tcPr>
            <w:tcW w:w="2901" w:type="dxa"/>
            <w:vAlign w:val="center"/>
          </w:tcPr>
          <w:p w14:paraId="7C245C9B" w14:textId="77777777" w:rsidR="005C5773" w:rsidRPr="00421D6F" w:rsidRDefault="005C5773" w:rsidP="007D0033">
            <w:pPr>
              <w:bidi w:val="0"/>
              <w:jc w:val="left"/>
              <w:rPr>
                <w:rFonts w:ascii="Times New Roman" w:eastAsia="Times New Roman" w:hAnsi="Times New Roman" w:cs="Times New Roman"/>
                <w:sz w:val="24"/>
                <w:szCs w:val="24"/>
                <w:rtl/>
              </w:rPr>
            </w:pPr>
            <w:r w:rsidRPr="00421D6F">
              <w:rPr>
                <w:rFonts w:ascii="Times New Roman" w:hAnsi="Times New Roman" w:cs="Times New Roman"/>
                <w:sz w:val="24"/>
                <w:szCs w:val="24"/>
              </w:rPr>
              <w:t>We commend the issuance of Federal Decree-Law No. 50 of 2023 on Regulating Public Benefit Organizations, which provides safeguards for the work of civil society institutions of various scopes, specializations, and activities, and offers facilities to enable them to play their role and fulfill their duties and responsibilities.</w:t>
            </w:r>
          </w:p>
        </w:tc>
      </w:tr>
      <w:tr w:rsidR="005C5773" w:rsidRPr="00421D6F" w14:paraId="2100A6A4" w14:textId="77777777" w:rsidTr="005C5773">
        <w:tc>
          <w:tcPr>
            <w:tcW w:w="1856" w:type="dxa"/>
            <w:vAlign w:val="center"/>
          </w:tcPr>
          <w:p w14:paraId="4CE7BB21"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36. The Right to Social Security</w:t>
            </w:r>
          </w:p>
        </w:tc>
        <w:tc>
          <w:tcPr>
            <w:tcW w:w="5508" w:type="dxa"/>
            <w:vAlign w:val="center"/>
          </w:tcPr>
          <w:p w14:paraId="7102BB59"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Constitution, in Article 16, guarantees the right to social security, ensuring care for children, mothers, and persons unable to care for themselves due to illness, disability, or old age. Public assistance and social insurance laws regulate these matters. The UAE has enacted the Social Security Law to achieve all the goals aimed at ensuring a decent life for those covered by social security in the country.</w:t>
            </w:r>
          </w:p>
        </w:tc>
        <w:tc>
          <w:tcPr>
            <w:tcW w:w="2901" w:type="dxa"/>
          </w:tcPr>
          <w:p w14:paraId="10DA47C9"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commend the issuance of Federal Decree-Law No. 57 of 2023 on Pensions and Social Insurance, and Federal Decree-Law No. 9 of 2019 on the Rights of Senior Citizens, as well as the UAE’s efforts to care for other groups entitled to care, such as children, minors with disabilities, and priority groups.</w:t>
            </w:r>
          </w:p>
        </w:tc>
      </w:tr>
      <w:tr w:rsidR="005C5773" w:rsidRPr="00421D6F" w14:paraId="51399F66" w14:textId="77777777" w:rsidTr="005C5773">
        <w:tc>
          <w:tcPr>
            <w:tcW w:w="1856" w:type="dxa"/>
            <w:vAlign w:val="center"/>
          </w:tcPr>
          <w:p w14:paraId="31059308"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37. The Right to Development</w:t>
            </w:r>
          </w:p>
        </w:tc>
        <w:tc>
          <w:tcPr>
            <w:tcW w:w="5508" w:type="dxa"/>
            <w:vAlign w:val="center"/>
          </w:tcPr>
          <w:p w14:paraId="3DE66F40"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The UAE places great importance on the right to development, ensuring that human beings are the core, foundation, and main target of development. It works to mobilize all capacities, resources, and potentials to achieve the highest levels of development, benefiting people’s lives and enhancing their enjoyment of rights </w:t>
            </w:r>
            <w:r w:rsidRPr="00421D6F">
              <w:rPr>
                <w:rFonts w:ascii="Times New Roman" w:hAnsi="Times New Roman" w:cs="Times New Roman"/>
                <w:sz w:val="24"/>
                <w:szCs w:val="24"/>
              </w:rPr>
              <w:lastRenderedPageBreak/>
              <w:t>guaranteed by national, regional, and international laws. The UAE is committed to sustainable development in line with the United Nations Sustainable Development Agenda, implementing numerous programs, projects, and initiatives to promote leadership in climate protection and environmental safety.</w:t>
            </w:r>
          </w:p>
        </w:tc>
        <w:tc>
          <w:tcPr>
            <w:tcW w:w="2901" w:type="dxa"/>
          </w:tcPr>
          <w:p w14:paraId="4C46BFD1"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 xml:space="preserve">We commend the formation of the National Committee for Sustainable Development Goals and the alignment of national development policies and </w:t>
            </w:r>
            <w:r w:rsidRPr="00421D6F">
              <w:rPr>
                <w:rFonts w:ascii="Times New Roman" w:hAnsi="Times New Roman" w:cs="Times New Roman"/>
                <w:sz w:val="24"/>
                <w:szCs w:val="24"/>
              </w:rPr>
              <w:lastRenderedPageBreak/>
              <w:t>programs with the United Nations Sustainable Development Agenda, as well as the UAE’s adherence to the 1986 UN Declaration on the Right to Development. We value the human rights–based approach in directing development programs and recommend strengthening civil society participation in national development projects, as well as guiding future development policies with a forward-looking vision based on international plans and the “Charter of the Future.”</w:t>
            </w:r>
          </w:p>
        </w:tc>
      </w:tr>
      <w:tr w:rsidR="005C5773" w:rsidRPr="00421D6F" w14:paraId="72BD7CA1" w14:textId="77777777" w:rsidTr="005C5773">
        <w:tc>
          <w:tcPr>
            <w:tcW w:w="1856" w:type="dxa"/>
            <w:vAlign w:val="center"/>
          </w:tcPr>
          <w:p w14:paraId="2AA4EA2B"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38. The Right to an Adequate Standard of Living</w:t>
            </w:r>
          </w:p>
        </w:tc>
        <w:tc>
          <w:tcPr>
            <w:tcW w:w="5508" w:type="dxa"/>
            <w:vAlign w:val="center"/>
          </w:tcPr>
          <w:p w14:paraId="13B82C7F"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Constitution, in Article 24, guarantees this right by affirming that “the national economy is based on social justice; its foundation is sincere cooperation between public and private activities; its goal is economic development, increased production, higher standards of living, and prosperity for citizens.” The UAE commits to ensuring an adequate standard of living for all citizens and residents, including free housing for citizens, access to food, clothing, and basic services. The UAE also guarantees the right to a safe and healthy environment, taking necessary measures within its capabilities to achieve and protect these rights. The UAE focuses on developing policies that support the well-being of individuals and provide them with a decent life by ensuring suitable livelihoods and essential services, reflecting its commitment to achieving a fair and equitable standard of living for society.</w:t>
            </w:r>
          </w:p>
        </w:tc>
        <w:tc>
          <w:tcPr>
            <w:tcW w:w="2901" w:type="dxa"/>
          </w:tcPr>
          <w:p w14:paraId="1B8FB272"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commend the UAE’s dedication to ensuring a decent standard of living, enhancing well-being, and harnessing its resources and capabilities to improve quality of life for all — particularly through its policies aimed at delivering the highest levels of educational, healthcare, and housing services. We also value its commitment to advancing initiatives for climate protection and environmental safety, as well as its highly appreciated development assistance to many countries around the world, with the goal of enhancing quality of life, eradicating extreme poverty, and improving living conditions for impoverished communities.</w:t>
            </w:r>
          </w:p>
        </w:tc>
      </w:tr>
      <w:tr w:rsidR="005C5773" w:rsidRPr="00421D6F" w14:paraId="126634F6" w14:textId="77777777" w:rsidTr="005C5773">
        <w:tc>
          <w:tcPr>
            <w:tcW w:w="1856" w:type="dxa"/>
            <w:vAlign w:val="center"/>
          </w:tcPr>
          <w:p w14:paraId="6A6315AF"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39. The Right to Health</w:t>
            </w:r>
          </w:p>
        </w:tc>
        <w:tc>
          <w:tcPr>
            <w:tcW w:w="5508" w:type="dxa"/>
            <w:vAlign w:val="center"/>
          </w:tcPr>
          <w:p w14:paraId="7643DBAC"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The Constitution, in Article 19, guarantees the right to health. The UAE ensures access to the highest standard of preventive and curative health services for </w:t>
            </w:r>
            <w:r w:rsidRPr="00421D6F">
              <w:rPr>
                <w:rFonts w:ascii="Times New Roman" w:hAnsi="Times New Roman" w:cs="Times New Roman"/>
                <w:sz w:val="24"/>
                <w:szCs w:val="24"/>
              </w:rPr>
              <w:lastRenderedPageBreak/>
              <w:t>all, with free healthcare for citizens and basic health services for residents without discrimination. The UAE develops primary healthcare and ensures access nationwide, regardless of geography or economic status. The UAE also takes effective measures to combat diseases, both through prevention and treatment, thereby contributing to the reduction of mortality rates. In addition, the UAE is committed to promoting health awareness and education among citizens and residents, and to combating harmful traditional practices that affect health. The UAE ensures that every individual has access to basic food and clean drinking water, works to address environmental pollution factors, and provides proper sanitation. The UAE also strives to combat drugs, smoking, and all practices detrimental to public health.</w:t>
            </w:r>
          </w:p>
        </w:tc>
        <w:tc>
          <w:tcPr>
            <w:tcW w:w="2901" w:type="dxa"/>
          </w:tcPr>
          <w:p w14:paraId="244F546A"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 xml:space="preserve">We commend the UAE’s contribution to strengthening healthcare </w:t>
            </w:r>
            <w:r w:rsidRPr="00421D6F">
              <w:rPr>
                <w:rFonts w:ascii="Times New Roman" w:hAnsi="Times New Roman" w:cs="Times New Roman"/>
                <w:sz w:val="24"/>
                <w:szCs w:val="24"/>
              </w:rPr>
              <w:lastRenderedPageBreak/>
              <w:t>systems worldwide, especially during the COVID-19 pandemic, and its global leadership in providing free preventive, medical, and treatment services according to the highest international protocols.</w:t>
            </w:r>
          </w:p>
        </w:tc>
      </w:tr>
      <w:tr w:rsidR="005C5773" w:rsidRPr="00421D6F" w14:paraId="69D5A624" w14:textId="77777777" w:rsidTr="005C5773">
        <w:tc>
          <w:tcPr>
            <w:tcW w:w="1856" w:type="dxa"/>
            <w:vAlign w:val="center"/>
          </w:tcPr>
          <w:p w14:paraId="760A7BA9" w14:textId="77777777" w:rsidR="005C5773" w:rsidRPr="00421D6F" w:rsidRDefault="005C5773" w:rsidP="007D0033">
            <w:pPr>
              <w:jc w:val="center"/>
              <w:rPr>
                <w:rFonts w:ascii="Times New Roman" w:hAnsi="Times New Roman" w:cs="Times New Roman"/>
                <w:sz w:val="24"/>
                <w:szCs w:val="24"/>
              </w:rPr>
            </w:pPr>
            <w:r w:rsidRPr="00421D6F">
              <w:rPr>
                <w:rFonts w:ascii="Times New Roman" w:hAnsi="Times New Roman" w:cs="Times New Roman"/>
                <w:sz w:val="24"/>
                <w:szCs w:val="24"/>
              </w:rPr>
              <w:lastRenderedPageBreak/>
              <w:t>40. The Rights of Persons with Disabilities</w:t>
            </w:r>
          </w:p>
        </w:tc>
        <w:tc>
          <w:tcPr>
            <w:tcW w:w="5508" w:type="dxa"/>
            <w:vAlign w:val="center"/>
          </w:tcPr>
          <w:p w14:paraId="0B36E860"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Constitution affirms the guarantee of human rights for all without discrimination, ensuring the rights of persons with disabilities. The UAE acceded to the Convention on the Rights of Persons with Disabilities in 2010 and is committed to enhancing its legislation and policies aimed at achieving positive discrimination in favor of persons with disabilities. The UAE guarantees the protection of their rights across all health, educational, professional, and social fields, and, to this end, issued Federal Law No. 29 of 2006 and its amendments on the Rights of Persons with Disabilities. The UAE has also been keen to strengthen initiatives and strategies that promote the active participation of persons with disabilities in various aspects of life, foster equal opportunities for them, and reinforce policies of inclusion and protection—particularly from abuse and deprivation—while dedicating programs for their care, rehabilitation, well-being, and recreation.</w:t>
            </w:r>
          </w:p>
        </w:tc>
        <w:tc>
          <w:tcPr>
            <w:tcW w:w="2901" w:type="dxa"/>
          </w:tcPr>
          <w:p w14:paraId="547D6698"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commend the issuance of Federal Law No. 10 of 2023 on Mental Health, the launch of the policy to protect “People of Determination” from abuse, employment support decisions, the Abu Dhabi Comprehensive Strategy for People of Determination (2020–2024), and the National Policy for Empowering People of Determination. We recommend unifying efforts, policies, strategies, and legislation nationwide.</w:t>
            </w:r>
          </w:p>
        </w:tc>
      </w:tr>
      <w:tr w:rsidR="005C5773" w:rsidRPr="00421D6F" w14:paraId="0B7CF543" w14:textId="77777777" w:rsidTr="005C5773">
        <w:tc>
          <w:tcPr>
            <w:tcW w:w="1856" w:type="dxa"/>
            <w:vAlign w:val="center"/>
          </w:tcPr>
          <w:p w14:paraId="44539383"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41. The Right to Education</w:t>
            </w:r>
          </w:p>
        </w:tc>
        <w:tc>
          <w:tcPr>
            <w:tcW w:w="5508" w:type="dxa"/>
            <w:vAlign w:val="center"/>
          </w:tcPr>
          <w:p w14:paraId="554ED9A9" w14:textId="77777777" w:rsidR="005C5773" w:rsidRPr="00421D6F" w:rsidRDefault="005C5773" w:rsidP="007D0033">
            <w:pPr>
              <w:pStyle w:val="NormalWeb"/>
            </w:pPr>
            <w:r w:rsidRPr="00421D6F">
              <w:t>Article 17 of the Constitution guarantees the right to education, making it compulsory at the primary stage without discrimination and free at all levels. One of the UAE’s most notable achievements in promoting this right has been linking education to a competitive knowledge-based economy and aligning its outputs with labor market needs. The government has increased the budget allocation for education and implemented continuous development plans across all stages of public education, including primary education, kindergartens, technical and vocational education, private education, and higher education.</w:t>
            </w:r>
          </w:p>
          <w:p w14:paraId="4D0116C3" w14:textId="77777777" w:rsidR="005C5773" w:rsidRPr="00421D6F" w:rsidRDefault="005C5773" w:rsidP="007D0033">
            <w:pPr>
              <w:pStyle w:val="NormalWeb"/>
            </w:pPr>
            <w:r w:rsidRPr="00421D6F">
              <w:lastRenderedPageBreak/>
              <w:t>It is also worth noting the UAE’s success in maintaining the continuity of education during the COVID-19 pandemic, with a remarkable and distinguished transition to distance learning, leveraging the nation’s advanced technological capabilities to ensure the uninterrupted delivery of education throughout the crisis.</w:t>
            </w:r>
          </w:p>
          <w:p w14:paraId="3DD32609" w14:textId="77777777" w:rsidR="005C5773" w:rsidRPr="00421D6F" w:rsidRDefault="005C5773" w:rsidP="007D0033">
            <w:pPr>
              <w:pStyle w:val="NormalWeb"/>
            </w:pPr>
            <w:r w:rsidRPr="00421D6F">
              <w:t>The UAE strives to achieve gender partnership in all educational fields to support national development goals. The UAE ensures that education fosters the full development of the human personality and promotes respect for human rights and fundamental freedoms. Furthermore, it integrates human rights principles into curricula and educational activities, both in formal and non-formal programs.</w:t>
            </w:r>
          </w:p>
          <w:p w14:paraId="6866F006" w14:textId="77777777" w:rsidR="005C5773" w:rsidRPr="00421D6F" w:rsidRDefault="005C5773" w:rsidP="007D0033">
            <w:pPr>
              <w:pStyle w:val="NormalWeb"/>
            </w:pPr>
            <w:r w:rsidRPr="00421D6F">
              <w:t>The UAE also works to provide mechanisms for lifelong learning for all, including national plans for adult education, reflecting its commitment to developing human capital and expanding opportunities for learning at all stages of life.</w:t>
            </w:r>
          </w:p>
          <w:p w14:paraId="5012FE54" w14:textId="77777777" w:rsidR="005C5773" w:rsidRPr="00421D6F" w:rsidRDefault="005C5773" w:rsidP="007D0033">
            <w:pPr>
              <w:pStyle w:val="NormalWeb"/>
              <w:spacing w:before="0" w:beforeAutospacing="0" w:after="0" w:afterAutospacing="0"/>
              <w:rPr>
                <w:rtl/>
                <w:lang w:bidi="ar-BH"/>
              </w:rPr>
            </w:pPr>
          </w:p>
        </w:tc>
        <w:tc>
          <w:tcPr>
            <w:tcW w:w="2901" w:type="dxa"/>
          </w:tcPr>
          <w:p w14:paraId="03B3C8CA" w14:textId="77777777" w:rsidR="005C5773" w:rsidRPr="00421D6F" w:rsidRDefault="005C5773" w:rsidP="007D0033">
            <w:pPr>
              <w:pStyle w:val="NormalWeb"/>
            </w:pPr>
            <w:r w:rsidRPr="00421D6F">
              <w:lastRenderedPageBreak/>
              <w:t xml:space="preserve">We commend the UAE’s efforts and leadership in advancing and developing education, as well as the support and resources it allocates to its improvement. We also praise the UAE’s commitment to promoting the right to education in many countries around the world. We highly value its dedication to employing </w:t>
            </w:r>
            <w:r w:rsidRPr="00421D6F">
              <w:lastRenderedPageBreak/>
              <w:t>the latest scientific and technological innovations in developing educational systems and supporting scientific and educational institutions. We further acknowledge the UAE’s remarkable success in managing distance learning systems during the COVID-19 pandemic.</w:t>
            </w:r>
          </w:p>
          <w:p w14:paraId="232AB2EB" w14:textId="77777777" w:rsidR="005C5773" w:rsidRPr="00421D6F" w:rsidRDefault="005C5773" w:rsidP="007D0033">
            <w:pPr>
              <w:pStyle w:val="NormalWeb"/>
            </w:pPr>
            <w:r w:rsidRPr="00421D6F">
              <w:t>We appreciate the UAE’s efforts in launching the Ministry of Education’s Strategic Direction 2023–2026 and the National Strategy for Higher Education 2030.</w:t>
            </w:r>
          </w:p>
          <w:p w14:paraId="381EAA6D" w14:textId="77777777" w:rsidR="005C5773" w:rsidRPr="00421D6F" w:rsidRDefault="005C5773" w:rsidP="007D0033">
            <w:pPr>
              <w:bidi w:val="0"/>
              <w:jc w:val="left"/>
              <w:rPr>
                <w:rFonts w:ascii="Times New Roman" w:eastAsia="Times New Roman" w:hAnsi="Times New Roman" w:cs="Times New Roman"/>
                <w:sz w:val="24"/>
                <w:szCs w:val="24"/>
                <w:rtl/>
                <w:lang w:bidi="ar-BH"/>
              </w:rPr>
            </w:pPr>
          </w:p>
        </w:tc>
      </w:tr>
      <w:tr w:rsidR="005C5773" w:rsidRPr="00421D6F" w14:paraId="75D3DE8A" w14:textId="77777777" w:rsidTr="005C5773">
        <w:tc>
          <w:tcPr>
            <w:tcW w:w="1856" w:type="dxa"/>
            <w:vAlign w:val="center"/>
          </w:tcPr>
          <w:p w14:paraId="53D9C0C3"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lastRenderedPageBreak/>
              <w:t>42. The Right to Participate in Cultural Life</w:t>
            </w:r>
          </w:p>
        </w:tc>
        <w:tc>
          <w:tcPr>
            <w:tcW w:w="5508" w:type="dxa"/>
          </w:tcPr>
          <w:p w14:paraId="63C4E63C" w14:textId="77777777" w:rsidR="005C5773" w:rsidRPr="00421D6F" w:rsidRDefault="005C5773" w:rsidP="007D0033">
            <w:pPr>
              <w:pStyle w:val="NormalWeb"/>
            </w:pPr>
            <w:r w:rsidRPr="00421D6F">
              <w:t>The UAE accords great care and attention to the right to participate in cultural life. In this regard, it issued Cabinet Resolution No. 59 concerning the National Committee of the United Arab Emirates for Education, Culture, and the Arts. The Constitution grants all citizens and residents the right to establish cultural associations and clubs and to contribute to disseminating their culture and societal heritage. Federal Decree-Law No. 55 on the Regulation of Media governs all aspects related to the right to participate in cultural life, while Cabinet Resolution No. 68 of 2024, regarding the Executive Regulations of Federal Decree-Law No. 55 of 2023, addresses all matters and competences required to entrench and implement this right for everyone inside and outside the UAE.</w:t>
            </w:r>
          </w:p>
          <w:p w14:paraId="13C16D22" w14:textId="77777777" w:rsidR="005C5773" w:rsidRPr="00421D6F" w:rsidRDefault="005C5773" w:rsidP="007D0033">
            <w:pPr>
              <w:pStyle w:val="NormalWeb"/>
            </w:pPr>
            <w:r w:rsidRPr="00421D6F">
              <w:t xml:space="preserve">The UAE also provides grants and assistance to support cultural activities of cultural associations and institutions. Moreover, the UAE has signed an agreement with the United Nations Educational, Scientific and Cultural Organization (UNESCO) to establish the International Centre for Capacity-Building in the Field of Intangible Cultural Heritage in </w:t>
            </w:r>
            <w:r w:rsidRPr="00421D6F">
              <w:lastRenderedPageBreak/>
              <w:t>Arab States, with the aim of building communication networks among communities, groups, and individuals to support the transmission and dissemination of intangible cultural heritage, as well as organizing events and public meetings at regional and international levels, and enhancing regional and international connections for the exchange of knowledge related to the safeguarding of intangible cultural heritage.</w:t>
            </w:r>
          </w:p>
          <w:p w14:paraId="7E8462F3" w14:textId="77777777" w:rsidR="005C5773" w:rsidRPr="00421D6F" w:rsidRDefault="005C5773" w:rsidP="007D0033">
            <w:pPr>
              <w:pStyle w:val="NormalWeb"/>
            </w:pPr>
            <w:r w:rsidRPr="00421D6F">
              <w:t>The UAE also respects the freedom of scientific research and works to protect the moral and material interests resulting from scientific, literary, or artistic production, thereby promoting innovation and encouraging creativity.</w:t>
            </w:r>
          </w:p>
          <w:p w14:paraId="37D50DEC" w14:textId="77777777" w:rsidR="005C5773" w:rsidRPr="00421D6F" w:rsidRDefault="005C5773" w:rsidP="007D0033">
            <w:pPr>
              <w:bidi w:val="0"/>
              <w:jc w:val="left"/>
              <w:rPr>
                <w:rFonts w:ascii="Times New Roman" w:eastAsia="Times New Roman" w:hAnsi="Times New Roman" w:cs="Times New Roman"/>
                <w:sz w:val="24"/>
                <w:szCs w:val="24"/>
                <w:rtl/>
                <w:lang w:bidi="ar-BH"/>
              </w:rPr>
            </w:pPr>
          </w:p>
        </w:tc>
        <w:tc>
          <w:tcPr>
            <w:tcW w:w="2901" w:type="dxa"/>
            <w:vAlign w:val="center"/>
          </w:tcPr>
          <w:p w14:paraId="0383E424"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We commend the organization by the UAE of the UNESCO World Conference on Culture and Arts Education in 2024, which hosted 190 ministers of education and culture to adopt the UNESCO Framework for Culture and Arts Education, as well as the UAE’s membership in the UNESCO Intergovernmental Committee for the Safeguarding of the Intangible Cultural Heritage for the period 2024–2028, and the launch of the National Strategy for Cultural and Creative Industries 2021–2031.</w:t>
            </w:r>
          </w:p>
        </w:tc>
      </w:tr>
      <w:tr w:rsidR="005C5773" w:rsidRPr="00421D6F" w14:paraId="560EA884" w14:textId="77777777" w:rsidTr="005C5773">
        <w:tc>
          <w:tcPr>
            <w:tcW w:w="1856" w:type="dxa"/>
            <w:vAlign w:val="center"/>
          </w:tcPr>
          <w:p w14:paraId="5C0D4D71"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43. Interpretation of the Charter</w:t>
            </w:r>
          </w:p>
        </w:tc>
        <w:tc>
          <w:tcPr>
            <w:tcW w:w="5508" w:type="dxa"/>
            <w:vAlign w:val="center"/>
          </w:tcPr>
          <w:p w14:paraId="0560C4E4"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demonstrates a firm commitment to the Arab Charter on Human Rights and expresses its determination to implement it in a manner that fulfills its objectives and purposes, working to consolidate the Charter’s contribution, along with other relevant international human rights instruments, to the promotion of respect for human rights in the country.</w:t>
            </w:r>
          </w:p>
        </w:tc>
        <w:tc>
          <w:tcPr>
            <w:tcW w:w="2901" w:type="dxa"/>
          </w:tcPr>
          <w:p w14:paraId="6C6E1453" w14:textId="77777777" w:rsidR="005C5773" w:rsidRPr="00421D6F" w:rsidRDefault="005C5773" w:rsidP="007D0033">
            <w:pPr>
              <w:bidi w:val="0"/>
              <w:jc w:val="left"/>
              <w:rPr>
                <w:rFonts w:ascii="Times New Roman" w:eastAsia="Times New Roman" w:hAnsi="Times New Roman" w:cs="Times New Roman"/>
                <w:b/>
                <w:bCs/>
                <w:sz w:val="24"/>
                <w:szCs w:val="24"/>
                <w:u w:val="single"/>
                <w:rtl/>
                <w:lang w:bidi="ar-BH"/>
              </w:rPr>
            </w:pPr>
            <w:r w:rsidRPr="00421D6F">
              <w:rPr>
                <w:rFonts w:ascii="Times New Roman" w:hAnsi="Times New Roman" w:cs="Times New Roman"/>
                <w:sz w:val="24"/>
                <w:szCs w:val="24"/>
              </w:rPr>
              <w:t>We call for the preparation of a peer-reviewed academic study that highlights the extent of the UAE’s care for and commitment to the Charter, and its dedication to upholding its values and principles in strengthening the UAE’s respect for and promotion of human rights.</w:t>
            </w:r>
          </w:p>
        </w:tc>
      </w:tr>
      <w:tr w:rsidR="005C5773" w:rsidRPr="00421D6F" w14:paraId="79CD8DE4" w14:textId="77777777" w:rsidTr="005C5773">
        <w:tc>
          <w:tcPr>
            <w:tcW w:w="1856" w:type="dxa"/>
            <w:vAlign w:val="center"/>
          </w:tcPr>
          <w:p w14:paraId="0B63AD3E"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44. Implementation of the Charter</w:t>
            </w:r>
          </w:p>
        </w:tc>
        <w:tc>
          <w:tcPr>
            <w:tcW w:w="5508" w:type="dxa"/>
            <w:vAlign w:val="center"/>
          </w:tcPr>
          <w:p w14:paraId="09F9DC79"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demonstrates a firm and unequivocal commitment to implementing the provisions of the Charter to strengthen the national human rights framework, whether through harmonizing legislation, applying policies, or creating national initiatives.</w:t>
            </w:r>
          </w:p>
        </w:tc>
        <w:tc>
          <w:tcPr>
            <w:tcW w:w="2901" w:type="dxa"/>
          </w:tcPr>
          <w:p w14:paraId="518BC33B" w14:textId="77777777" w:rsidR="005C5773" w:rsidRPr="00421D6F" w:rsidRDefault="005C5773" w:rsidP="007D0033">
            <w:pPr>
              <w:bidi w:val="0"/>
              <w:spacing w:before="100" w:beforeAutospacing="1" w:after="100" w:afterAutospacing="1"/>
              <w:jc w:val="left"/>
              <w:rPr>
                <w:rFonts w:ascii="Times New Roman" w:eastAsia="Times New Roman" w:hAnsi="Times New Roman" w:cs="Times New Roman"/>
                <w:sz w:val="24"/>
                <w:szCs w:val="24"/>
                <w:rtl/>
                <w:lang w:eastAsia="en-GB"/>
              </w:rPr>
            </w:pPr>
            <w:r w:rsidRPr="00421D6F">
              <w:rPr>
                <w:rFonts w:ascii="Times New Roman" w:eastAsia="Times New Roman" w:hAnsi="Times New Roman" w:cs="Times New Roman"/>
                <w:sz w:val="24"/>
                <w:szCs w:val="24"/>
                <w:lang w:eastAsia="en-GB"/>
              </w:rPr>
              <w:t>We recommend that the UAE organize regional events and activities that highlight its dedication to the content of the Charter and contribute to encouraging other non-member States to join it.</w:t>
            </w:r>
          </w:p>
        </w:tc>
      </w:tr>
      <w:tr w:rsidR="005C5773" w:rsidRPr="00421D6F" w14:paraId="5E1A3C69" w14:textId="77777777" w:rsidTr="005C5773">
        <w:tc>
          <w:tcPr>
            <w:tcW w:w="1856" w:type="dxa"/>
            <w:vAlign w:val="center"/>
          </w:tcPr>
          <w:p w14:paraId="5DC94D67" w14:textId="77777777" w:rsidR="005C5773" w:rsidRPr="00421D6F" w:rsidRDefault="005C5773" w:rsidP="007D0033">
            <w:pPr>
              <w:jc w:val="center"/>
              <w:rPr>
                <w:rFonts w:ascii="Times New Roman" w:hAnsi="Times New Roman" w:cs="Times New Roman"/>
                <w:sz w:val="24"/>
                <w:szCs w:val="24"/>
                <w:rtl/>
              </w:rPr>
            </w:pPr>
            <w:r w:rsidRPr="00421D6F">
              <w:rPr>
                <w:rFonts w:ascii="Times New Roman" w:hAnsi="Times New Roman" w:cs="Times New Roman"/>
                <w:sz w:val="24"/>
                <w:szCs w:val="24"/>
              </w:rPr>
              <w:t>45, 46 &amp; 47. The Human Rights Committee</w:t>
            </w:r>
          </w:p>
        </w:tc>
        <w:tc>
          <w:tcPr>
            <w:tcW w:w="5508" w:type="dxa"/>
            <w:vAlign w:val="center"/>
          </w:tcPr>
          <w:p w14:paraId="0EAB3FB6" w14:textId="77777777" w:rsidR="005C5773" w:rsidRPr="00421D6F" w:rsidRDefault="005C5773" w:rsidP="007D0033">
            <w:pPr>
              <w:bidi w:val="0"/>
              <w:jc w:val="left"/>
              <w:rPr>
                <w:rFonts w:ascii="Times New Roman" w:eastAsia="Times New Roman" w:hAnsi="Times New Roman" w:cs="Times New Roman"/>
                <w:sz w:val="24"/>
                <w:szCs w:val="24"/>
                <w:rtl/>
              </w:rPr>
            </w:pPr>
            <w:r w:rsidRPr="00421D6F">
              <w:rPr>
                <w:rFonts w:ascii="Times New Roman" w:hAnsi="Times New Roman" w:cs="Times New Roman"/>
                <w:sz w:val="24"/>
                <w:szCs w:val="24"/>
              </w:rPr>
              <w:t>The UAE shows a firm and unequivocal commitment to enhancing its participation in all committees related to the Charter, and is keen to maintain continuous membership in the Committee, engaging with it in all matters that support and empower it, and enhancing effective partnership with it. The UAE has committed to submitting and discussing its national reports regularly and continuously. It also accords the necessary respect and appreciation to the Committee members and ensures they are enabled to carry out their work and responsibilities in accordance with the requirements of the Arab Charter on Human Rights.</w:t>
            </w:r>
          </w:p>
        </w:tc>
        <w:tc>
          <w:tcPr>
            <w:tcW w:w="2901" w:type="dxa"/>
          </w:tcPr>
          <w:p w14:paraId="5AB7F40B"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We commend the UAE’s commitment to submitting and discussing its national reports on the Arab Charter on Human Rights before the relevant Committee, and we recommend amending Article 45 of the Charter to include additional membership conditions, such as requiring that a member not </w:t>
            </w:r>
            <w:r w:rsidRPr="00421D6F">
              <w:rPr>
                <w:rFonts w:ascii="Times New Roman" w:hAnsi="Times New Roman" w:cs="Times New Roman"/>
                <w:sz w:val="24"/>
                <w:szCs w:val="24"/>
              </w:rPr>
              <w:lastRenderedPageBreak/>
              <w:t>be employed by any government entity.</w:t>
            </w:r>
          </w:p>
        </w:tc>
      </w:tr>
    </w:tbl>
    <w:p w14:paraId="141FFE54" w14:textId="77777777" w:rsidR="005C5773" w:rsidRPr="00421D6F" w:rsidRDefault="005C5773" w:rsidP="005C5773">
      <w:pPr>
        <w:bidi w:val="0"/>
        <w:rPr>
          <w:rFonts w:ascii="Times New Roman" w:hAnsi="Times New Roman" w:cs="Times New Roman"/>
        </w:rPr>
      </w:pPr>
    </w:p>
    <w:p w14:paraId="044E9980" w14:textId="56636BF6" w:rsidR="005C5773" w:rsidRPr="00421D6F" w:rsidRDefault="005C5773">
      <w:pPr>
        <w:rPr>
          <w:rFonts w:ascii="Times New Roman" w:hAnsi="Times New Roman" w:cs="Times New Roman"/>
        </w:rPr>
      </w:pPr>
      <w:r w:rsidRPr="00421D6F">
        <w:rPr>
          <w:rFonts w:ascii="Times New Roman" w:hAnsi="Times New Roman" w:cs="Times New Roman"/>
        </w:rPr>
        <w:br w:type="page"/>
      </w:r>
    </w:p>
    <w:p w14:paraId="28072713" w14:textId="77777777" w:rsidR="005C5773" w:rsidRPr="00421D6F" w:rsidRDefault="005C5773" w:rsidP="005C5773">
      <w:pPr>
        <w:bidi w:val="0"/>
        <w:ind w:left="-550" w:right="-142"/>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lastRenderedPageBreak/>
        <w:t>Annex No. (1)</w:t>
      </w:r>
    </w:p>
    <w:p w14:paraId="3572D9D9" w14:textId="77777777" w:rsidR="005C5773" w:rsidRPr="00421D6F" w:rsidRDefault="005C5773" w:rsidP="005C5773">
      <w:pPr>
        <w:bidi w:val="0"/>
        <w:ind w:left="-550" w:right="-142"/>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Highlighting the UAE’s Attention to and Implementation of the Concluding Observations and Recommendations</w:t>
      </w:r>
      <w:r w:rsidRPr="00421D6F">
        <w:rPr>
          <w:rFonts w:ascii="Times New Roman" w:eastAsia="Times New Roman" w:hAnsi="Times New Roman" w:cs="Times New Roman"/>
          <w:b/>
          <w:bCs/>
          <w:sz w:val="24"/>
          <w:szCs w:val="24"/>
          <w:lang w:bidi="ar-BH"/>
        </w:rPr>
        <w:br/>
        <w:t>Concerning the First Periodic National Report Submitted to the Arab Charter on Human Rights Committee</w:t>
      </w:r>
    </w:p>
    <w:p w14:paraId="121C1A6C" w14:textId="77777777" w:rsidR="005C5773" w:rsidRPr="00421D6F" w:rsidRDefault="005C5773" w:rsidP="005C5773">
      <w:pPr>
        <w:bidi w:val="0"/>
        <w:ind w:left="-550" w:right="-142"/>
        <w:jc w:val="center"/>
        <w:rPr>
          <w:rFonts w:ascii="Times New Roman" w:eastAsia="Times New Roman" w:hAnsi="Times New Roman" w:cs="Times New Roman"/>
          <w:b/>
          <w:bCs/>
          <w:sz w:val="24"/>
          <w:szCs w:val="24"/>
          <w:lang w:bidi="ar-BH"/>
        </w:rPr>
      </w:pPr>
      <w:r w:rsidRPr="00421D6F">
        <w:rPr>
          <w:rFonts w:ascii="Times New Roman" w:eastAsia="Times New Roman" w:hAnsi="Times New Roman" w:cs="Times New Roman"/>
          <w:b/>
          <w:bCs/>
          <w:sz w:val="24"/>
          <w:szCs w:val="24"/>
          <w:lang w:bidi="ar-BH"/>
        </w:rPr>
        <w:t>Engagement with the Observations and Recommendations Submitted by the Charter Committee Regarding the First Periodic Report</w:t>
      </w:r>
    </w:p>
    <w:p w14:paraId="5B2E6ABD" w14:textId="77777777" w:rsidR="005C5773" w:rsidRPr="00421D6F" w:rsidRDefault="005C5773" w:rsidP="005C5773">
      <w:pPr>
        <w:bidi w:val="0"/>
        <w:ind w:left="-550" w:right="-142"/>
        <w:jc w:val="center"/>
        <w:rPr>
          <w:rFonts w:ascii="Times New Roman" w:eastAsia="Times New Roman" w:hAnsi="Times New Roman" w:cs="Times New Roman"/>
          <w:b/>
          <w:bCs/>
          <w:sz w:val="24"/>
          <w:szCs w:val="24"/>
          <w:lang w:bidi="ar-BH"/>
        </w:rPr>
      </w:pPr>
    </w:p>
    <w:tbl>
      <w:tblPr>
        <w:tblStyle w:val="TableGrid"/>
        <w:tblW w:w="10046" w:type="dxa"/>
        <w:tblInd w:w="-540" w:type="dxa"/>
        <w:tblLook w:val="04A0" w:firstRow="1" w:lastRow="0" w:firstColumn="1" w:lastColumn="0" w:noHBand="0" w:noVBand="1"/>
      </w:tblPr>
      <w:tblGrid>
        <w:gridCol w:w="2932"/>
        <w:gridCol w:w="13"/>
        <w:gridCol w:w="1985"/>
        <w:gridCol w:w="5103"/>
        <w:gridCol w:w="6"/>
        <w:gridCol w:w="7"/>
      </w:tblGrid>
      <w:tr w:rsidR="005C5773" w:rsidRPr="00421D6F" w14:paraId="53B407C5" w14:textId="77777777" w:rsidTr="00C93156">
        <w:trPr>
          <w:gridAfter w:val="1"/>
          <w:wAfter w:w="7" w:type="dxa"/>
        </w:trPr>
        <w:tc>
          <w:tcPr>
            <w:tcW w:w="2932" w:type="dxa"/>
            <w:shd w:val="clear" w:color="auto" w:fill="9CC2E5" w:themeFill="accent1" w:themeFillTint="99"/>
            <w:vAlign w:val="center"/>
          </w:tcPr>
          <w:p w14:paraId="1EC1B5C5"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Fonts w:ascii="Times New Roman" w:hAnsi="Times New Roman" w:cs="Times New Roman"/>
                <w:b/>
                <w:bCs/>
                <w:sz w:val="24"/>
                <w:szCs w:val="24"/>
              </w:rPr>
              <w:t>Recommendation</w:t>
            </w:r>
          </w:p>
        </w:tc>
        <w:tc>
          <w:tcPr>
            <w:tcW w:w="1998" w:type="dxa"/>
            <w:gridSpan w:val="2"/>
            <w:shd w:val="clear" w:color="auto" w:fill="9CC2E5" w:themeFill="accent1" w:themeFillTint="99"/>
            <w:vAlign w:val="center"/>
          </w:tcPr>
          <w:p w14:paraId="086709A2"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Fonts w:ascii="Times New Roman" w:hAnsi="Times New Roman" w:cs="Times New Roman"/>
                <w:b/>
                <w:bCs/>
                <w:sz w:val="24"/>
                <w:szCs w:val="24"/>
              </w:rPr>
              <w:t>National Status</w:t>
            </w:r>
          </w:p>
        </w:tc>
        <w:tc>
          <w:tcPr>
            <w:tcW w:w="5109" w:type="dxa"/>
            <w:gridSpan w:val="2"/>
            <w:shd w:val="clear" w:color="auto" w:fill="9CC2E5" w:themeFill="accent1" w:themeFillTint="99"/>
            <w:vAlign w:val="center"/>
          </w:tcPr>
          <w:p w14:paraId="73E92EC4" w14:textId="19174C9E" w:rsidR="005C5773" w:rsidRPr="00421D6F" w:rsidRDefault="005C5773" w:rsidP="007D0033">
            <w:pPr>
              <w:bidi w:val="0"/>
              <w:jc w:val="center"/>
              <w:rPr>
                <w:rFonts w:ascii="Times New Roman" w:eastAsia="Times New Roman" w:hAnsi="Times New Roman" w:cs="Times New Roman"/>
                <w:b/>
                <w:bCs/>
                <w:sz w:val="24"/>
                <w:szCs w:val="24"/>
                <w:rtl/>
                <w:lang w:eastAsia="en-GB"/>
              </w:rPr>
            </w:pPr>
            <w:r w:rsidRPr="00421D6F">
              <w:rPr>
                <w:rFonts w:ascii="Times New Roman" w:eastAsia="Times New Roman" w:hAnsi="Times New Roman" w:cs="Times New Roman"/>
                <w:b/>
                <w:bCs/>
                <w:sz w:val="24"/>
                <w:szCs w:val="24"/>
                <w:lang w:eastAsia="en-GB"/>
              </w:rPr>
              <w:t>Comment</w:t>
            </w:r>
            <w:r w:rsidR="00191601" w:rsidRPr="00421D6F">
              <w:rPr>
                <w:rFonts w:ascii="Times New Roman" w:eastAsia="Times New Roman" w:hAnsi="Times New Roman" w:cs="Times New Roman"/>
                <w:b/>
                <w:bCs/>
                <w:sz w:val="24"/>
                <w:szCs w:val="24"/>
                <w:lang w:eastAsia="en-GB"/>
              </w:rPr>
              <w:t>s</w:t>
            </w:r>
            <w:r w:rsidRPr="00421D6F">
              <w:rPr>
                <w:rFonts w:ascii="Times New Roman" w:eastAsia="Times New Roman" w:hAnsi="Times New Roman" w:cs="Times New Roman"/>
                <w:b/>
                <w:bCs/>
                <w:sz w:val="24"/>
                <w:szCs w:val="24"/>
                <w:lang w:eastAsia="en-GB"/>
              </w:rPr>
              <w:t xml:space="preserve"> and Recommendation</w:t>
            </w:r>
            <w:r w:rsidR="00191601" w:rsidRPr="00421D6F">
              <w:rPr>
                <w:rFonts w:ascii="Times New Roman" w:eastAsia="Times New Roman" w:hAnsi="Times New Roman" w:cs="Times New Roman"/>
                <w:b/>
                <w:bCs/>
                <w:sz w:val="24"/>
                <w:szCs w:val="24"/>
                <w:lang w:eastAsia="en-GB"/>
              </w:rPr>
              <w:t>s</w:t>
            </w:r>
          </w:p>
        </w:tc>
      </w:tr>
      <w:tr w:rsidR="005C5773" w:rsidRPr="00421D6F" w14:paraId="1D696CAF" w14:textId="77777777" w:rsidTr="00C93156">
        <w:trPr>
          <w:gridAfter w:val="1"/>
          <w:wAfter w:w="7" w:type="dxa"/>
        </w:trPr>
        <w:tc>
          <w:tcPr>
            <w:tcW w:w="2932" w:type="dxa"/>
            <w:vAlign w:val="center"/>
          </w:tcPr>
          <w:p w14:paraId="3C9AE011"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16</w:t>
            </w:r>
          </w:p>
          <w:p w14:paraId="1C92BB4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Establishment of a National Human Rights Institution in accordance with the Paris Principles</w:t>
            </w:r>
          </w:p>
        </w:tc>
        <w:tc>
          <w:tcPr>
            <w:tcW w:w="1998" w:type="dxa"/>
            <w:gridSpan w:val="2"/>
            <w:vAlign w:val="center"/>
          </w:tcPr>
          <w:p w14:paraId="44284B9E"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09" w:type="dxa"/>
            <w:gridSpan w:val="2"/>
            <w:vAlign w:val="center"/>
          </w:tcPr>
          <w:p w14:paraId="58E9D3A6" w14:textId="77777777" w:rsidR="005C5773" w:rsidRPr="00421D6F" w:rsidRDefault="005C5773" w:rsidP="007D0033">
            <w:pPr>
              <w:bidi w:val="0"/>
              <w:jc w:val="left"/>
              <w:rPr>
                <w:rFonts w:ascii="Times New Roman" w:eastAsia="Times New Roman" w:hAnsi="Times New Roman" w:cs="Times New Roman"/>
                <w:b/>
                <w:bCs/>
                <w:sz w:val="24"/>
                <w:szCs w:val="24"/>
                <w:rtl/>
                <w:lang w:bidi="ar-BH"/>
              </w:rPr>
            </w:pPr>
            <w:r w:rsidRPr="00421D6F">
              <w:rPr>
                <w:rFonts w:ascii="Times New Roman" w:hAnsi="Times New Roman" w:cs="Times New Roman"/>
                <w:sz w:val="24"/>
                <w:szCs w:val="24"/>
              </w:rPr>
              <w:t>Federal Law No. 12 of 2021 was issued to establish the National Human Rights Institution as an independent entity in accordance with the Paris Principles. Cabinet Resolution No. 21 of 2021 was also issued to form the Board of Trustees of the National Human Rights Institution.</w:t>
            </w:r>
            <w:r w:rsidRPr="00421D6F">
              <w:rPr>
                <w:rFonts w:ascii="Times New Roman" w:hAnsi="Times New Roman" w:cs="Times New Roman"/>
                <w:sz w:val="24"/>
                <w:szCs w:val="24"/>
              </w:rPr>
              <w:br/>
            </w:r>
            <w:r w:rsidRPr="00421D6F">
              <w:rPr>
                <w:rFonts w:ascii="Times New Roman" w:hAnsi="Times New Roman" w:cs="Times New Roman"/>
                <w:b/>
                <w:bCs/>
                <w:sz w:val="24"/>
                <w:szCs w:val="24"/>
              </w:rPr>
              <w:t>Accordingly, we recommend expediting the activation of protection mechanisms, namely complaints, field visits, and monitoring</w:t>
            </w:r>
            <w:r w:rsidRPr="00421D6F">
              <w:rPr>
                <w:rFonts w:ascii="Times New Roman" w:hAnsi="Times New Roman" w:cs="Times New Roman"/>
                <w:sz w:val="24"/>
                <w:szCs w:val="24"/>
              </w:rPr>
              <w:t>.</w:t>
            </w:r>
          </w:p>
        </w:tc>
      </w:tr>
      <w:tr w:rsidR="005C5773" w:rsidRPr="00421D6F" w14:paraId="6332B9BD" w14:textId="77777777" w:rsidTr="00C93156">
        <w:trPr>
          <w:gridAfter w:val="1"/>
          <w:wAfter w:w="7" w:type="dxa"/>
        </w:trPr>
        <w:tc>
          <w:tcPr>
            <w:tcW w:w="2932" w:type="dxa"/>
            <w:vAlign w:val="center"/>
          </w:tcPr>
          <w:p w14:paraId="707B4632"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18</w:t>
            </w:r>
          </w:p>
          <w:p w14:paraId="4440D716"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Adoption of institutional, procedural, and legal measures to prepare a comprehensive national plan for the promotion and protection of human rights</w:t>
            </w:r>
          </w:p>
        </w:tc>
        <w:tc>
          <w:tcPr>
            <w:tcW w:w="1998" w:type="dxa"/>
            <w:gridSpan w:val="2"/>
            <w:vAlign w:val="center"/>
          </w:tcPr>
          <w:p w14:paraId="068848A1"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Partially implemented</w:t>
            </w:r>
          </w:p>
        </w:tc>
        <w:tc>
          <w:tcPr>
            <w:tcW w:w="5109" w:type="dxa"/>
            <w:gridSpan w:val="2"/>
            <w:vAlign w:val="center"/>
          </w:tcPr>
          <w:p w14:paraId="3556EF9A"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Since 2020, the Standing Committee on Human Rights has begun consultations to prepare the plan—despite the exceptional circumstances of the COVID-19 pandemic.</w:t>
            </w:r>
            <w:r w:rsidRPr="00421D6F">
              <w:rPr>
                <w:rFonts w:ascii="Times New Roman" w:hAnsi="Times New Roman" w:cs="Times New Roman"/>
                <w:sz w:val="24"/>
                <w:szCs w:val="24"/>
              </w:rPr>
              <w:br/>
            </w:r>
            <w:r w:rsidRPr="00421D6F">
              <w:rPr>
                <w:rFonts w:ascii="Times New Roman" w:hAnsi="Times New Roman" w:cs="Times New Roman"/>
                <w:b/>
                <w:bCs/>
                <w:sz w:val="24"/>
                <w:szCs w:val="24"/>
              </w:rPr>
              <w:t>We therefore recommend expediting the completion of the plan and strengthening the role and contributions of civil society in it.</w:t>
            </w:r>
          </w:p>
        </w:tc>
      </w:tr>
      <w:tr w:rsidR="005C5773" w:rsidRPr="00421D6F" w14:paraId="32F4E658" w14:textId="77777777" w:rsidTr="00C93156">
        <w:trPr>
          <w:gridAfter w:val="1"/>
          <w:wAfter w:w="7" w:type="dxa"/>
        </w:trPr>
        <w:tc>
          <w:tcPr>
            <w:tcW w:w="2932" w:type="dxa"/>
            <w:vAlign w:val="center"/>
          </w:tcPr>
          <w:p w14:paraId="2C0C7CD9"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20</w:t>
            </w:r>
          </w:p>
          <w:p w14:paraId="761E6DF7" w14:textId="77777777" w:rsidR="005C5773" w:rsidRPr="00421D6F" w:rsidRDefault="005C5773" w:rsidP="007D0033">
            <w:pPr>
              <w:bidi w:val="0"/>
              <w:jc w:val="center"/>
              <w:rPr>
                <w:rFonts w:ascii="Times New Roman" w:eastAsia="Times New Roman" w:hAnsi="Times New Roman" w:cs="Times New Roman"/>
                <w:sz w:val="24"/>
                <w:szCs w:val="24"/>
                <w:rtl/>
              </w:rPr>
            </w:pPr>
            <w:r w:rsidRPr="00421D6F">
              <w:rPr>
                <w:rFonts w:ascii="Times New Roman" w:hAnsi="Times New Roman" w:cs="Times New Roman"/>
                <w:sz w:val="24"/>
                <w:szCs w:val="24"/>
              </w:rPr>
              <w:t>Review of nationality law and equality between men and women in granting nationality to their children</w:t>
            </w:r>
          </w:p>
        </w:tc>
        <w:tc>
          <w:tcPr>
            <w:tcW w:w="1998" w:type="dxa"/>
            <w:gridSpan w:val="2"/>
            <w:vAlign w:val="center"/>
          </w:tcPr>
          <w:p w14:paraId="086D9478"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09" w:type="dxa"/>
            <w:gridSpan w:val="2"/>
            <w:vAlign w:val="center"/>
          </w:tcPr>
          <w:p w14:paraId="6EE57D42" w14:textId="77777777" w:rsidR="005C5773" w:rsidRPr="00421D6F" w:rsidRDefault="005C5773" w:rsidP="007D0033">
            <w:pPr>
              <w:pStyle w:val="NormalWeb"/>
            </w:pPr>
            <w:r w:rsidRPr="00421D6F">
              <w:t>In January 2021, the UAE approved amendments to the Executive Regulations of the Federal Law on Nationality and Passports, allowing certain categories of foreigners, including children of Emirati mothers, to obtain nationality.</w:t>
            </w:r>
            <w:r w:rsidRPr="00421D6F">
              <w:br/>
              <w:t>Among the main conditions for granting nationality to children of Emirati women:</w:t>
            </w:r>
          </w:p>
          <w:p w14:paraId="7503399F" w14:textId="77777777" w:rsidR="005C5773" w:rsidRPr="00421D6F" w:rsidRDefault="005C5773" w:rsidP="007D0033">
            <w:pPr>
              <w:pStyle w:val="NormalWeb"/>
              <w:numPr>
                <w:ilvl w:val="0"/>
                <w:numId w:val="7"/>
              </w:numPr>
            </w:pPr>
            <w:r w:rsidRPr="00421D6F">
              <w:t>The child must be born to an Emirati mother and an unknown or stateless father.</w:t>
            </w:r>
          </w:p>
          <w:p w14:paraId="17C6714A" w14:textId="77777777" w:rsidR="005C5773" w:rsidRPr="00421D6F" w:rsidRDefault="005C5773" w:rsidP="007D0033">
            <w:pPr>
              <w:pStyle w:val="NormalWeb"/>
              <w:numPr>
                <w:ilvl w:val="0"/>
                <w:numId w:val="7"/>
              </w:numPr>
              <w:rPr>
                <w:rtl/>
              </w:rPr>
            </w:pPr>
            <w:r w:rsidRPr="00421D6F">
              <w:t>The child must be born to an Emirati mother and a foreign father, with specific conditions met.</w:t>
            </w:r>
          </w:p>
        </w:tc>
      </w:tr>
      <w:tr w:rsidR="005C5773" w:rsidRPr="00421D6F" w14:paraId="2D146818" w14:textId="77777777" w:rsidTr="00C93156">
        <w:trPr>
          <w:gridAfter w:val="1"/>
          <w:wAfter w:w="7" w:type="dxa"/>
        </w:trPr>
        <w:tc>
          <w:tcPr>
            <w:tcW w:w="2932" w:type="dxa"/>
            <w:vAlign w:val="center"/>
          </w:tcPr>
          <w:p w14:paraId="78359C3A"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22</w:t>
            </w:r>
          </w:p>
          <w:p w14:paraId="3BB74A3E"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Amendments to Federal Law No. (11) of 2009 on Martial Law to explicitly state all rights that may not be restricted during exceptional emergencies, in accordance with Article (4) of the Charter</w:t>
            </w:r>
          </w:p>
        </w:tc>
        <w:tc>
          <w:tcPr>
            <w:tcW w:w="1998" w:type="dxa"/>
            <w:gridSpan w:val="2"/>
            <w:vAlign w:val="center"/>
          </w:tcPr>
          <w:p w14:paraId="01A7F908"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9" w:type="dxa"/>
            <w:gridSpan w:val="2"/>
            <w:vAlign w:val="center"/>
          </w:tcPr>
          <w:p w14:paraId="2409467B" w14:textId="77777777" w:rsidR="005C5773" w:rsidRPr="00421D6F" w:rsidRDefault="005C5773" w:rsidP="007D0033">
            <w:pPr>
              <w:pStyle w:val="NormalWeb"/>
              <w:rPr>
                <w:b/>
                <w:bCs/>
              </w:rPr>
            </w:pPr>
            <w:r w:rsidRPr="00421D6F">
              <w:rPr>
                <w:b/>
                <w:bCs/>
              </w:rPr>
              <w:t>We see no need to explicitly list all rights that may not be restricted during emergencies for the following reasons:</w:t>
            </w:r>
          </w:p>
          <w:p w14:paraId="12E1945C" w14:textId="77777777" w:rsidR="005C5773" w:rsidRPr="00421D6F" w:rsidRDefault="005C5773" w:rsidP="007D0033">
            <w:pPr>
              <w:pStyle w:val="NormalWeb"/>
              <w:numPr>
                <w:ilvl w:val="0"/>
                <w:numId w:val="7"/>
              </w:numPr>
            </w:pPr>
            <w:r w:rsidRPr="00421D6F">
              <w:t xml:space="preserve">Federal Law No. (11) of 2009 on Martial Law, in Article (4), specifies the rights and freedoms that may be restricted, which implies that rights not mentioned—such as the right to life—cannot be restricted. </w:t>
            </w:r>
            <w:r w:rsidRPr="00421D6F">
              <w:lastRenderedPageBreak/>
              <w:t>Furthermore, these rights are firmly established in numerous international conventions that the UAE has joined and is committed to.</w:t>
            </w:r>
          </w:p>
          <w:p w14:paraId="73054AD3" w14:textId="77777777" w:rsidR="005C5773" w:rsidRPr="00421D6F" w:rsidRDefault="005C5773" w:rsidP="007D0033">
            <w:pPr>
              <w:pStyle w:val="NormalWeb"/>
              <w:numPr>
                <w:ilvl w:val="0"/>
                <w:numId w:val="7"/>
              </w:numPr>
              <w:rPr>
                <w:rFonts w:eastAsiaTheme="majorEastAsia"/>
                <w:rtl/>
                <w:lang w:bidi="ar-BH"/>
              </w:rPr>
            </w:pPr>
            <w:r w:rsidRPr="00421D6F">
              <w:t>The Arab Charter on Human Rights, in Article 4(2), does not require explicit enumeration but rather confirms that restrictions must not contravene the provisions related to those rights.</w:t>
            </w:r>
          </w:p>
        </w:tc>
      </w:tr>
      <w:tr w:rsidR="005C5773" w:rsidRPr="00421D6F" w14:paraId="71E6675D" w14:textId="77777777" w:rsidTr="00C93156">
        <w:trPr>
          <w:gridAfter w:val="1"/>
          <w:wAfter w:w="7" w:type="dxa"/>
        </w:trPr>
        <w:tc>
          <w:tcPr>
            <w:tcW w:w="2932" w:type="dxa"/>
            <w:vAlign w:val="center"/>
          </w:tcPr>
          <w:p w14:paraId="02EA1E17"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24</w:t>
            </w:r>
          </w:p>
          <w:p w14:paraId="6A9102C3" w14:textId="77777777" w:rsidR="005C5773" w:rsidRPr="00421D6F" w:rsidRDefault="005C5773" w:rsidP="007D0033">
            <w:pPr>
              <w:bidi w:val="0"/>
              <w:jc w:val="center"/>
              <w:rPr>
                <w:rFonts w:ascii="Times New Roman" w:eastAsia="Times New Roman" w:hAnsi="Times New Roman" w:cs="Times New Roman"/>
                <w:sz w:val="24"/>
                <w:szCs w:val="24"/>
                <w:rtl/>
              </w:rPr>
            </w:pPr>
            <w:r w:rsidRPr="00421D6F">
              <w:rPr>
                <w:rFonts w:ascii="Times New Roman" w:hAnsi="Times New Roman" w:cs="Times New Roman"/>
                <w:sz w:val="24"/>
                <w:szCs w:val="24"/>
              </w:rPr>
              <w:t>Ensure that the death penalty is imposed only for the most serious crimes, and include in the next periodic report specific and updated information on crimes punishable by death in national legislation, as well as statistical information on the number of sentences issued and carried out</w:t>
            </w:r>
          </w:p>
        </w:tc>
        <w:tc>
          <w:tcPr>
            <w:tcW w:w="1998" w:type="dxa"/>
            <w:gridSpan w:val="2"/>
            <w:vAlign w:val="center"/>
          </w:tcPr>
          <w:p w14:paraId="5823EBB3"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Previously implemented</w:t>
            </w:r>
          </w:p>
        </w:tc>
        <w:tc>
          <w:tcPr>
            <w:tcW w:w="5109" w:type="dxa"/>
            <w:gridSpan w:val="2"/>
            <w:vAlign w:val="center"/>
          </w:tcPr>
          <w:p w14:paraId="75162258" w14:textId="77777777" w:rsidR="005C5773" w:rsidRPr="00421D6F" w:rsidRDefault="005C5773" w:rsidP="007D0033">
            <w:pPr>
              <w:bidi w:val="0"/>
              <w:jc w:val="left"/>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Under the new Penal Code, Federal Decree-Law No. 31 of 2021, the death penalty in the UAE is applied in the narrowest of circumstances and only in specific cases related to state security crimes and serious premeditated crimes</w:t>
            </w:r>
            <w:r w:rsidRPr="00421D6F">
              <w:rPr>
                <w:rFonts w:ascii="Times New Roman" w:eastAsia="Times New Roman" w:hAnsi="Times New Roman" w:cs="Times New Roman"/>
                <w:sz w:val="24"/>
                <w:szCs w:val="24"/>
                <w:rtl/>
                <w:lang w:bidi="ar-BH"/>
              </w:rPr>
              <w:t>.</w:t>
            </w:r>
          </w:p>
          <w:p w14:paraId="6D306E85" w14:textId="77777777" w:rsidR="005C5773" w:rsidRPr="00421D6F" w:rsidRDefault="005C5773" w:rsidP="007D0033">
            <w:pPr>
              <w:bidi w:val="0"/>
              <w:jc w:val="left"/>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The death penalty is enforced only after all appeals are exhausted and requires the President’s approval before execution, as per Article 68 of the Penal Code</w:t>
            </w:r>
            <w:r w:rsidRPr="00421D6F">
              <w:rPr>
                <w:rFonts w:ascii="Times New Roman" w:eastAsia="Times New Roman" w:hAnsi="Times New Roman" w:cs="Times New Roman"/>
                <w:sz w:val="24"/>
                <w:szCs w:val="24"/>
                <w:rtl/>
                <w:lang w:bidi="ar-BH"/>
              </w:rPr>
              <w:t>.</w:t>
            </w:r>
          </w:p>
          <w:p w14:paraId="760CDB86" w14:textId="77777777" w:rsidR="005C5773" w:rsidRPr="00421D6F" w:rsidRDefault="005C5773" w:rsidP="007D0033">
            <w:pPr>
              <w:bidi w:val="0"/>
              <w:jc w:val="left"/>
              <w:rPr>
                <w:rFonts w:ascii="Times New Roman" w:eastAsia="Times New Roman" w:hAnsi="Times New Roman" w:cs="Times New Roman"/>
                <w:sz w:val="24"/>
                <w:szCs w:val="24"/>
                <w:lang w:bidi="ar-BH"/>
              </w:rPr>
            </w:pPr>
            <w:r w:rsidRPr="00421D6F">
              <w:rPr>
                <w:rFonts w:ascii="Times New Roman" w:eastAsia="Times New Roman" w:hAnsi="Times New Roman" w:cs="Times New Roman"/>
                <w:sz w:val="24"/>
                <w:szCs w:val="24"/>
                <w:lang w:bidi="ar-BH"/>
              </w:rPr>
              <w:t>Furthermore, Article (99) provides that if the court considers that the circumstances of the crime or the criminal warrant clemency, it may reduce the prescribed penalty for the felony; if the prescribed penalty is death, it may be reduced to life or temporary imprisonment</w:t>
            </w:r>
            <w:r w:rsidRPr="00421D6F">
              <w:rPr>
                <w:rFonts w:ascii="Times New Roman" w:eastAsia="Times New Roman" w:hAnsi="Times New Roman" w:cs="Times New Roman"/>
                <w:sz w:val="24"/>
                <w:szCs w:val="24"/>
                <w:rtl/>
                <w:lang w:bidi="ar-BH"/>
              </w:rPr>
              <w:t>.</w:t>
            </w:r>
          </w:p>
          <w:p w14:paraId="664EA395" w14:textId="77777777" w:rsidR="005C5773" w:rsidRPr="00421D6F" w:rsidRDefault="005C5773" w:rsidP="007D0033">
            <w:pPr>
              <w:pStyle w:val="Heading4"/>
              <w:shd w:val="clear" w:color="auto" w:fill="FFFFFF"/>
              <w:bidi w:val="0"/>
              <w:spacing w:before="0"/>
              <w:jc w:val="left"/>
              <w:rPr>
                <w:rFonts w:ascii="Times New Roman" w:eastAsia="Times New Roman" w:hAnsi="Times New Roman" w:cs="Times New Roman"/>
                <w:b/>
                <w:bCs/>
                <w:i w:val="0"/>
                <w:iCs w:val="0"/>
                <w:color w:val="auto"/>
                <w:sz w:val="24"/>
                <w:szCs w:val="24"/>
                <w:rtl/>
                <w:lang w:bidi="ar-BH"/>
              </w:rPr>
            </w:pPr>
            <w:r w:rsidRPr="00421D6F">
              <w:rPr>
                <w:rFonts w:ascii="Times New Roman" w:eastAsia="Times New Roman" w:hAnsi="Times New Roman" w:cs="Times New Roman"/>
                <w:b/>
                <w:bCs/>
                <w:i w:val="0"/>
                <w:iCs w:val="0"/>
                <w:color w:val="auto"/>
                <w:sz w:val="24"/>
                <w:szCs w:val="24"/>
                <w:lang w:bidi="ar-BH"/>
              </w:rPr>
              <w:t>Over the last four years, monitoring indicates that the death penalty is rarely applied, with life imprisonment often used as an alternative</w:t>
            </w:r>
            <w:r w:rsidRPr="00421D6F">
              <w:rPr>
                <w:rFonts w:ascii="Times New Roman" w:eastAsia="Times New Roman" w:hAnsi="Times New Roman" w:cs="Times New Roman"/>
                <w:b/>
                <w:bCs/>
                <w:i w:val="0"/>
                <w:iCs w:val="0"/>
                <w:color w:val="auto"/>
                <w:sz w:val="24"/>
                <w:szCs w:val="24"/>
                <w:rtl/>
                <w:lang w:bidi="ar-BH"/>
              </w:rPr>
              <w:t>.</w:t>
            </w:r>
          </w:p>
        </w:tc>
      </w:tr>
      <w:tr w:rsidR="005C5773" w:rsidRPr="00421D6F" w14:paraId="1BD180A6" w14:textId="77777777" w:rsidTr="00C93156">
        <w:trPr>
          <w:gridAfter w:val="1"/>
          <w:wAfter w:w="7" w:type="dxa"/>
        </w:trPr>
        <w:tc>
          <w:tcPr>
            <w:tcW w:w="2932" w:type="dxa"/>
            <w:vAlign w:val="center"/>
          </w:tcPr>
          <w:p w14:paraId="2F184BA1"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27</w:t>
            </w:r>
          </w:p>
          <w:p w14:paraId="521A283E"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Fonts w:ascii="Times New Roman" w:hAnsi="Times New Roman" w:cs="Times New Roman"/>
                <w:sz w:val="24"/>
                <w:szCs w:val="24"/>
              </w:rPr>
              <w:t xml:space="preserve">Align the provisions of its legal system on protection from torture with the provisions of the Charter by establishing a legal definition of the crime of torture; explicitly stipulating that the crime of torture or ill-treatment and its penalty shall not be subject to a statute of limitations; declaring null and void any investigations or evidence obtained under physical or psychological torture; tightening the prescribed penalty for the crime of torture; and taking all measures to implement </w:t>
            </w:r>
            <w:r w:rsidRPr="00421D6F">
              <w:rPr>
                <w:rFonts w:ascii="Times New Roman" w:hAnsi="Times New Roman" w:cs="Times New Roman"/>
                <w:sz w:val="24"/>
                <w:szCs w:val="24"/>
              </w:rPr>
              <w:lastRenderedPageBreak/>
              <w:t>support and assistance programs for victims of torture or ill-treatment, including providing them with protection, medical care, and physical and psychological rehabilitation, as well as safeguarding their rights</w:t>
            </w:r>
          </w:p>
        </w:tc>
        <w:tc>
          <w:tcPr>
            <w:tcW w:w="1998" w:type="dxa"/>
            <w:gridSpan w:val="2"/>
            <w:vAlign w:val="center"/>
          </w:tcPr>
          <w:p w14:paraId="5086BAAC"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Previously implemented</w:t>
            </w:r>
          </w:p>
        </w:tc>
        <w:tc>
          <w:tcPr>
            <w:tcW w:w="5109" w:type="dxa"/>
            <w:gridSpan w:val="2"/>
            <w:shd w:val="clear" w:color="auto" w:fill="FFFFFF" w:themeFill="background1"/>
            <w:vAlign w:val="center"/>
          </w:tcPr>
          <w:p w14:paraId="5BB444C1" w14:textId="77777777" w:rsidR="005C5773" w:rsidRPr="00421D6F" w:rsidRDefault="005C5773" w:rsidP="007D0033">
            <w:pPr>
              <w:pStyle w:val="NormalWeb"/>
              <w:numPr>
                <w:ilvl w:val="0"/>
                <w:numId w:val="7"/>
              </w:numPr>
            </w:pPr>
            <w:r w:rsidRPr="00421D6F">
              <w:t>Under Article (8) of the Charter, there is no requirement to establish a specific definition of torture.</w:t>
            </w:r>
          </w:p>
          <w:p w14:paraId="2DBE8C03" w14:textId="77777777" w:rsidR="005C5773" w:rsidRPr="00421D6F" w:rsidRDefault="005C5773" w:rsidP="007D0033">
            <w:pPr>
              <w:pStyle w:val="NormalWeb"/>
              <w:numPr>
                <w:ilvl w:val="0"/>
                <w:numId w:val="7"/>
              </w:numPr>
            </w:pPr>
            <w:r w:rsidRPr="00421D6F">
              <w:t>Federal Decree-Law No. (38) of 2022 issuing the Criminal Procedure Law, Article (2), Clause (3), prohibits causing physical or psychological harm to an accused person, as well as subjecting any individual to torture or degrading treatment. It further stipulates that any evidence obtained by such means shall be null and void.</w:t>
            </w:r>
          </w:p>
          <w:p w14:paraId="020E1826" w14:textId="77777777" w:rsidR="005C5773" w:rsidRPr="00421D6F" w:rsidRDefault="005C5773" w:rsidP="007D0033">
            <w:pPr>
              <w:pStyle w:val="NormalWeb"/>
              <w:numPr>
                <w:ilvl w:val="0"/>
                <w:numId w:val="7"/>
              </w:numPr>
            </w:pPr>
            <w:r w:rsidRPr="00421D6F">
              <w:t xml:space="preserve">Article 8 of the Arab Charter states: "Each State shall ensure in its legal system that any person subjected to torture has the right to seek redress, rehabilitation, and compensation." This is reflected in the Civil Transactions Law, which allows victims to file civil claims for compensation for damages resulting from </w:t>
            </w:r>
            <w:r w:rsidRPr="00421D6F">
              <w:lastRenderedPageBreak/>
              <w:t>torture. Under Article 293, infringement on another person’s freedom, dignity, honor, or reputation constitutes moral damage, and the affected party has the right to claim compensation. In addition, Article 380 of the UAE Criminal Procedure Law enables the victim or civil claimant to request temporary compensation for damage suffered, with such request recorded in the official report.</w:t>
            </w:r>
          </w:p>
          <w:p w14:paraId="71C12119" w14:textId="77777777" w:rsidR="005C5773" w:rsidRPr="00421D6F" w:rsidRDefault="005C5773" w:rsidP="007D0033">
            <w:pPr>
              <w:pStyle w:val="NormalWeb"/>
              <w:numPr>
                <w:ilvl w:val="0"/>
                <w:numId w:val="7"/>
              </w:numPr>
            </w:pPr>
            <w:r w:rsidRPr="00421D6F">
              <w:t>The UAE prohibits torture in all its forms and manifestations, with its Constitution, legislation, and laws explicitly banning and criminalizing such acts. Article 26 of the UAE Constitution states: "No person shall be subjected to torture or degrading treatment," and Article 28 provides: "No accused person shall be physically or morally harmed." Furthermore, the 2021 Penal Code criminalizes torture under Article 290, which stipulates: "Any public official who uses torture, force, or threats, personally or through others, against an accused, witness, or expert in order to compel them to confess to a crime, to make statements or provide information about it, or to conceal any matter, shall be punished with temporary imprisonment."</w:t>
            </w:r>
          </w:p>
          <w:p w14:paraId="191FBE3D" w14:textId="77777777" w:rsidR="005C5773" w:rsidRPr="00421D6F" w:rsidRDefault="005C5773" w:rsidP="007D0033">
            <w:pPr>
              <w:pStyle w:val="NormalWeb"/>
              <w:ind w:left="360"/>
            </w:pPr>
            <w:r w:rsidRPr="00421D6F">
              <w:t xml:space="preserve">This reaffirms the UAE’s commitment to prohibiting torture and punishing its perpetrators in line with international human rights standards. </w:t>
            </w:r>
          </w:p>
          <w:p w14:paraId="71D1E1D4" w14:textId="77777777" w:rsidR="005C5773" w:rsidRPr="00421D6F" w:rsidRDefault="005C5773" w:rsidP="007D0033">
            <w:pPr>
              <w:pStyle w:val="NormalWeb"/>
              <w:ind w:left="360"/>
              <w:rPr>
                <w:b/>
                <w:bCs/>
                <w:rtl/>
              </w:rPr>
            </w:pPr>
            <w:r w:rsidRPr="00421D6F">
              <w:rPr>
                <w:b/>
                <w:bCs/>
              </w:rPr>
              <w:t>Based on our monitoring and documentation, we have not recorded any violations or incidents related to acts of torture in any form in the country, nor have we received any complaints of torture.</w:t>
            </w:r>
          </w:p>
        </w:tc>
      </w:tr>
      <w:tr w:rsidR="005C5773" w:rsidRPr="00421D6F" w14:paraId="50E0D48D" w14:textId="77777777" w:rsidTr="00C93156">
        <w:trPr>
          <w:gridAfter w:val="1"/>
          <w:wAfter w:w="7" w:type="dxa"/>
        </w:trPr>
        <w:tc>
          <w:tcPr>
            <w:tcW w:w="2932" w:type="dxa"/>
            <w:vAlign w:val="center"/>
          </w:tcPr>
          <w:p w14:paraId="4F4112E1"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28</w:t>
            </w:r>
          </w:p>
          <w:p w14:paraId="0E7E32E2"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Provide statistics on torture and ill-treatment cases</w:t>
            </w:r>
          </w:p>
        </w:tc>
        <w:tc>
          <w:tcPr>
            <w:tcW w:w="1998" w:type="dxa"/>
            <w:gridSpan w:val="2"/>
            <w:vAlign w:val="center"/>
          </w:tcPr>
          <w:p w14:paraId="1A72C638"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No information available</w:t>
            </w:r>
          </w:p>
        </w:tc>
        <w:tc>
          <w:tcPr>
            <w:tcW w:w="5109" w:type="dxa"/>
            <w:gridSpan w:val="2"/>
            <w:vAlign w:val="center"/>
          </w:tcPr>
          <w:p w14:paraId="402B1C13"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recommend that the Standing Committee on Human Rights provide statistics on torture and ill-treatment cases to confirm civil society reports indicating the absence of such violations in the UAE.</w:t>
            </w:r>
          </w:p>
        </w:tc>
      </w:tr>
      <w:tr w:rsidR="005C5773" w:rsidRPr="00421D6F" w14:paraId="4DCB3773" w14:textId="77777777" w:rsidTr="00C93156">
        <w:trPr>
          <w:gridAfter w:val="1"/>
          <w:wAfter w:w="7" w:type="dxa"/>
        </w:trPr>
        <w:tc>
          <w:tcPr>
            <w:tcW w:w="2932" w:type="dxa"/>
            <w:vAlign w:val="center"/>
          </w:tcPr>
          <w:p w14:paraId="5C470248"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30</w:t>
            </w:r>
          </w:p>
          <w:p w14:paraId="2B2F74E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Include a specific legal provision prohibiting </w:t>
            </w:r>
            <w:r w:rsidRPr="00421D6F">
              <w:rPr>
                <w:rFonts w:ascii="Times New Roman" w:hAnsi="Times New Roman" w:cs="Times New Roman"/>
                <w:sz w:val="24"/>
                <w:szCs w:val="24"/>
              </w:rPr>
              <w:lastRenderedPageBreak/>
              <w:t>experiments or research on embryos</w:t>
            </w:r>
          </w:p>
        </w:tc>
        <w:tc>
          <w:tcPr>
            <w:tcW w:w="1998" w:type="dxa"/>
            <w:gridSpan w:val="2"/>
            <w:vAlign w:val="center"/>
          </w:tcPr>
          <w:p w14:paraId="56A569BC"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lastRenderedPageBreak/>
              <w:t>Implemented</w:t>
            </w:r>
          </w:p>
        </w:tc>
        <w:tc>
          <w:tcPr>
            <w:tcW w:w="5109" w:type="dxa"/>
            <w:gridSpan w:val="2"/>
            <w:vAlign w:val="center"/>
          </w:tcPr>
          <w:p w14:paraId="22D62FA2" w14:textId="77777777" w:rsidR="005C5773" w:rsidRPr="00421D6F" w:rsidRDefault="005C5773" w:rsidP="007D0033">
            <w:pPr>
              <w:pStyle w:val="NormalWeb"/>
              <w:numPr>
                <w:ilvl w:val="0"/>
                <w:numId w:val="7"/>
              </w:numPr>
            </w:pPr>
            <w:r w:rsidRPr="00421D6F">
              <w:t xml:space="preserve">Federal Law No. (7) of 2019 on Medical Assistance for Reproduction includes clear provisions prohibiting experiments or research on embryos, except under specific </w:t>
            </w:r>
            <w:r w:rsidRPr="00421D6F">
              <w:lastRenderedPageBreak/>
              <w:t>conditions and controls ensuring protection of the rights of embryos and concerned parties.</w:t>
            </w:r>
            <w:r w:rsidRPr="00421D6F">
              <w:br/>
              <w:t>The Executive Regulations (Cabinet Resolution No. 20 of 2020) set the conditions and controls for conducting research on unfertilized or fertilized ova and sperm.</w:t>
            </w:r>
          </w:p>
          <w:p w14:paraId="0DEE27A1" w14:textId="77777777" w:rsidR="005C5773" w:rsidRPr="00421D6F" w:rsidRDefault="005C5773" w:rsidP="007D0033">
            <w:pPr>
              <w:pStyle w:val="NormalWeb"/>
              <w:numPr>
                <w:ilvl w:val="0"/>
                <w:numId w:val="7"/>
              </w:numPr>
            </w:pPr>
            <w:r w:rsidRPr="00421D6F">
              <w:t>Federal Decree-Law No. (4) of 2016 on Medical Liability prohibits human cloning and research, experiments, or applications intended to clone a human being.</w:t>
            </w:r>
          </w:p>
          <w:p w14:paraId="047313CC" w14:textId="77777777" w:rsidR="005C5773" w:rsidRPr="00421D6F" w:rsidRDefault="005C5773" w:rsidP="007D0033">
            <w:pPr>
              <w:pStyle w:val="NormalWeb"/>
              <w:numPr>
                <w:ilvl w:val="0"/>
                <w:numId w:val="7"/>
              </w:numPr>
              <w:rPr>
                <w:rtl/>
                <w:lang w:bidi="ar-BH"/>
              </w:rPr>
            </w:pPr>
            <w:r w:rsidRPr="00421D6F">
              <w:t>Federal Law No. (5) of 2019 on the Regulation of the Transfer and Transplantation of Human Organs and Tissues regulates organ and tissue transplantation and prohibits the exploitation of human biological materials, including embryos, for commercial or unethical purposes. It emphasizes respect for human dignity and the rights of embryos, and prohibits conducting research without official approval from the relevant health authorities. The law contributes to combating the trafficking of human organs and tissues and prevents the exploitation of patients’ or donors’ needs.</w:t>
            </w:r>
          </w:p>
        </w:tc>
      </w:tr>
      <w:tr w:rsidR="005C5773" w:rsidRPr="00421D6F" w14:paraId="7D12494D" w14:textId="77777777" w:rsidTr="00C93156">
        <w:trPr>
          <w:gridAfter w:val="1"/>
          <w:wAfter w:w="7" w:type="dxa"/>
        </w:trPr>
        <w:tc>
          <w:tcPr>
            <w:tcW w:w="2932" w:type="dxa"/>
            <w:vAlign w:val="center"/>
          </w:tcPr>
          <w:p w14:paraId="081B156A"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32</w:t>
            </w:r>
          </w:p>
          <w:p w14:paraId="121146CC" w14:textId="77777777" w:rsidR="005C5773" w:rsidRPr="00421D6F" w:rsidRDefault="005C5773" w:rsidP="007D0033">
            <w:pPr>
              <w:bidi w:val="0"/>
              <w:jc w:val="center"/>
              <w:rPr>
                <w:rFonts w:ascii="Times New Roman" w:eastAsia="Times New Roman" w:hAnsi="Times New Roman" w:cs="Times New Roman"/>
                <w:sz w:val="24"/>
                <w:szCs w:val="24"/>
                <w:rtl/>
              </w:rPr>
            </w:pPr>
            <w:r w:rsidRPr="00421D6F">
              <w:rPr>
                <w:rFonts w:ascii="Times New Roman" w:hAnsi="Times New Roman" w:cs="Times New Roman"/>
                <w:sz w:val="24"/>
                <w:szCs w:val="24"/>
              </w:rPr>
              <w:t>Adopt legal amendments prohibiting the use of children in armed conflicts</w:t>
            </w:r>
          </w:p>
        </w:tc>
        <w:tc>
          <w:tcPr>
            <w:tcW w:w="1998" w:type="dxa"/>
            <w:gridSpan w:val="2"/>
            <w:vAlign w:val="center"/>
          </w:tcPr>
          <w:p w14:paraId="3BD5B7EE"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9" w:type="dxa"/>
            <w:gridSpan w:val="2"/>
            <w:vAlign w:val="center"/>
          </w:tcPr>
          <w:p w14:paraId="10FE0BAB" w14:textId="77777777" w:rsidR="005C5773" w:rsidRPr="00421D6F" w:rsidRDefault="005C5773" w:rsidP="007D0033">
            <w:pPr>
              <w:bidi w:val="0"/>
              <w:jc w:val="left"/>
              <w:rPr>
                <w:rFonts w:ascii="Times New Roman" w:eastAsia="Times New Roman" w:hAnsi="Times New Roman" w:cs="Times New Roman"/>
                <w:sz w:val="24"/>
                <w:szCs w:val="24"/>
                <w:shd w:val="clear" w:color="auto" w:fill="FFFFFF" w:themeFill="background1"/>
                <w:rtl/>
                <w:lang w:bidi="ar-BH"/>
              </w:rPr>
            </w:pPr>
            <w:r w:rsidRPr="00421D6F">
              <w:rPr>
                <w:rFonts w:ascii="Times New Roman" w:hAnsi="Times New Roman" w:cs="Times New Roman"/>
                <w:sz w:val="24"/>
                <w:szCs w:val="24"/>
              </w:rPr>
              <w:t>Federal Decree-Law No. (12) of 2017 on International Crimes, Article (17), provides that any person who recruits children under the age of fifteen, compulsorily or voluntarily, into armed forces or uses them to participate actively in hostilities in the context of an international or non-international armed conflict, shall be punished by life or temporary imprisonment. The penalty shall be death or life imprisonment if the act results in the death of the recruited child.</w:t>
            </w:r>
            <w:r w:rsidRPr="00421D6F">
              <w:rPr>
                <w:rFonts w:ascii="Times New Roman" w:hAnsi="Times New Roman" w:cs="Times New Roman"/>
                <w:sz w:val="24"/>
                <w:szCs w:val="24"/>
              </w:rPr>
              <w:br/>
              <w:t>We recommend raising the age limit to 18 years to align with the Optional Protocol to the Convention on the Rights of the Child on the involvement of children in armed conflict, which the UAE announced its intention to join during the review of its 4th national report under the Universal Periodic Review in May 2023 at the Human Rights Council.</w:t>
            </w:r>
          </w:p>
        </w:tc>
      </w:tr>
      <w:tr w:rsidR="005C5773" w:rsidRPr="00421D6F" w14:paraId="2C9FA4EE" w14:textId="77777777" w:rsidTr="00C93156">
        <w:trPr>
          <w:gridAfter w:val="1"/>
          <w:wAfter w:w="7" w:type="dxa"/>
        </w:trPr>
        <w:tc>
          <w:tcPr>
            <w:tcW w:w="2932" w:type="dxa"/>
            <w:vAlign w:val="center"/>
          </w:tcPr>
          <w:p w14:paraId="4193194A"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lastRenderedPageBreak/>
              <w:t>33</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Enhancing measures to ensure redress for victims of human trafficking and guaranteeing their voluntary and safe return to their home countries, while strengthening shelter, psychological and legal support, and rehabilitation programs for such victims.</w:t>
            </w:r>
          </w:p>
        </w:tc>
        <w:tc>
          <w:tcPr>
            <w:tcW w:w="1998" w:type="dxa"/>
            <w:gridSpan w:val="2"/>
            <w:vAlign w:val="center"/>
          </w:tcPr>
          <w:p w14:paraId="433E11B6"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09" w:type="dxa"/>
            <w:gridSpan w:val="2"/>
            <w:vAlign w:val="center"/>
          </w:tcPr>
          <w:p w14:paraId="3F3A4730" w14:textId="77777777" w:rsidR="005C5773" w:rsidRPr="00421D6F" w:rsidRDefault="005C5773" w:rsidP="007D0033">
            <w:pPr>
              <w:pStyle w:val="NormalWeb"/>
            </w:pPr>
            <w:r w:rsidRPr="00421D6F">
              <w:t>Federal Decree-Law No. (24) of 2023 on Combating Human Trafficking serves as the main legal framework governing these matters.</w:t>
            </w:r>
          </w:p>
          <w:p w14:paraId="39C9CEA2" w14:textId="77777777" w:rsidR="005C5773" w:rsidRPr="00421D6F" w:rsidRDefault="005C5773" w:rsidP="005C5773">
            <w:pPr>
              <w:pStyle w:val="NormalWeb"/>
              <w:numPr>
                <w:ilvl w:val="0"/>
                <w:numId w:val="32"/>
              </w:numPr>
            </w:pPr>
            <w:r w:rsidRPr="00421D6F">
              <w:rPr>
                <w:rStyle w:val="Strong"/>
              </w:rPr>
              <w:t>Victim Compensation:</w:t>
            </w:r>
            <w:r w:rsidRPr="00421D6F">
              <w:t xml:space="preserve"> The law grants victims the right to claim compensation for damages resulting from their exploitation and exempts them from civil lawsuit fees when seeking such compensation.</w:t>
            </w:r>
          </w:p>
          <w:p w14:paraId="0E0900A9" w14:textId="77777777" w:rsidR="005C5773" w:rsidRPr="00421D6F" w:rsidRDefault="005C5773" w:rsidP="005C5773">
            <w:pPr>
              <w:pStyle w:val="NormalWeb"/>
              <w:numPr>
                <w:ilvl w:val="0"/>
                <w:numId w:val="32"/>
              </w:numPr>
            </w:pPr>
            <w:r w:rsidRPr="00421D6F">
              <w:rPr>
                <w:rStyle w:val="Strong"/>
              </w:rPr>
              <w:t>Voluntary and Safe Return:</w:t>
            </w:r>
            <w:r w:rsidRPr="00421D6F">
              <w:t xml:space="preserve"> The law emphasizes ensuring victims’ voluntary and safe return to their countries of origin, with necessary measures to protect them from any risks upon return.</w:t>
            </w:r>
          </w:p>
          <w:p w14:paraId="0A6B04C7" w14:textId="77777777" w:rsidR="005C5773" w:rsidRPr="00421D6F" w:rsidRDefault="005C5773" w:rsidP="005C5773">
            <w:pPr>
              <w:pStyle w:val="NormalWeb"/>
              <w:numPr>
                <w:ilvl w:val="0"/>
                <w:numId w:val="32"/>
              </w:numPr>
            </w:pPr>
            <w:r w:rsidRPr="00421D6F">
              <w:rPr>
                <w:rStyle w:val="Strong"/>
              </w:rPr>
              <w:t>Shelter and Support Programs:</w:t>
            </w:r>
            <w:r w:rsidRPr="00421D6F">
              <w:t xml:space="preserve"> The UAE provides specialized shelters offering comprehensive care for victims, including:</w:t>
            </w:r>
          </w:p>
          <w:p w14:paraId="46A2EE4E" w14:textId="77777777" w:rsidR="005C5773" w:rsidRPr="00421D6F" w:rsidRDefault="005C5773" w:rsidP="005C5773">
            <w:pPr>
              <w:pStyle w:val="NormalWeb"/>
              <w:numPr>
                <w:ilvl w:val="1"/>
                <w:numId w:val="32"/>
              </w:numPr>
            </w:pPr>
            <w:r w:rsidRPr="00421D6F">
              <w:rPr>
                <w:rStyle w:val="Emphasis"/>
              </w:rPr>
              <w:t>Psychological Support:</w:t>
            </w:r>
            <w:r w:rsidRPr="00421D6F">
              <w:t xml:space="preserve"> Counseling and therapy sessions to help victims overcome trauma.</w:t>
            </w:r>
          </w:p>
          <w:p w14:paraId="739D0006" w14:textId="77777777" w:rsidR="005C5773" w:rsidRPr="00421D6F" w:rsidRDefault="005C5773" w:rsidP="005C5773">
            <w:pPr>
              <w:pStyle w:val="NormalWeb"/>
              <w:numPr>
                <w:ilvl w:val="1"/>
                <w:numId w:val="32"/>
              </w:numPr>
            </w:pPr>
            <w:r w:rsidRPr="00421D6F">
              <w:rPr>
                <w:rStyle w:val="Emphasis"/>
              </w:rPr>
              <w:t>Legal Support:</w:t>
            </w:r>
            <w:r w:rsidRPr="00421D6F">
              <w:t xml:space="preserve"> Assistance to enable victims to pursue their rights before judicial authorities.</w:t>
            </w:r>
          </w:p>
          <w:p w14:paraId="6916D047" w14:textId="77777777" w:rsidR="005C5773" w:rsidRPr="00421D6F" w:rsidRDefault="005C5773" w:rsidP="005C5773">
            <w:pPr>
              <w:pStyle w:val="NormalWeb"/>
              <w:numPr>
                <w:ilvl w:val="1"/>
                <w:numId w:val="32"/>
              </w:numPr>
            </w:pPr>
            <w:r w:rsidRPr="00421D6F">
              <w:rPr>
                <w:rStyle w:val="Emphasis"/>
              </w:rPr>
              <w:t>Rehabilitation:</w:t>
            </w:r>
            <w:r w:rsidRPr="00421D6F">
              <w:t xml:space="preserve"> Training and rehabilitation programs to help victims reintegrate into society.</w:t>
            </w:r>
          </w:p>
          <w:p w14:paraId="2B41156D" w14:textId="77777777" w:rsidR="005C5773" w:rsidRPr="00421D6F" w:rsidRDefault="005C5773" w:rsidP="007D0033">
            <w:pPr>
              <w:pStyle w:val="NormalWeb"/>
            </w:pPr>
            <w:r w:rsidRPr="00421D6F">
              <w:t>For example, the Abu Dhabi Shelter and Humanitarian Care Center “Ewaa” offers integrated services, including shelter, health, psychological, and legal care for victims. The Dubai Foundation for Women and Children also provides immediate support and free care services for women and children who are victims of violence and human trafficking.</w:t>
            </w:r>
          </w:p>
          <w:p w14:paraId="7ADFC412" w14:textId="77777777" w:rsidR="005C5773" w:rsidRPr="00421D6F" w:rsidRDefault="005C5773" w:rsidP="007D0033">
            <w:pPr>
              <w:pStyle w:val="NormalWeb"/>
            </w:pPr>
            <w:r w:rsidRPr="00421D6F">
              <w:t>These efforts demonstrate the UAE’s commitment to ensuring the protection, rights, and human dignity of victims of human trafficking.</w:t>
            </w:r>
          </w:p>
          <w:p w14:paraId="7571DFB2" w14:textId="77777777" w:rsidR="005C5773" w:rsidRPr="00421D6F" w:rsidRDefault="005C5773" w:rsidP="007D0033">
            <w:pPr>
              <w:bidi w:val="0"/>
              <w:jc w:val="left"/>
              <w:rPr>
                <w:rFonts w:ascii="Times New Roman" w:eastAsia="Times New Roman" w:hAnsi="Times New Roman" w:cs="Times New Roman"/>
                <w:sz w:val="24"/>
                <w:szCs w:val="24"/>
                <w:rtl/>
              </w:rPr>
            </w:pPr>
          </w:p>
        </w:tc>
      </w:tr>
      <w:tr w:rsidR="005C5773" w:rsidRPr="00421D6F" w14:paraId="1ACB26D3" w14:textId="77777777" w:rsidTr="00C93156">
        <w:trPr>
          <w:gridAfter w:val="1"/>
          <w:wAfter w:w="7" w:type="dxa"/>
          <w:trHeight w:val="1430"/>
        </w:trPr>
        <w:tc>
          <w:tcPr>
            <w:tcW w:w="2932" w:type="dxa"/>
            <w:vAlign w:val="center"/>
          </w:tcPr>
          <w:p w14:paraId="0386FC48"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34</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 xml:space="preserve">Increasing governmental and civil society efforts to raise awareness about the dangers of human trafficking in all its forms, targeting law enforcement </w:t>
            </w:r>
            <w:r w:rsidRPr="00421D6F">
              <w:rPr>
                <w:rStyle w:val="Strong"/>
                <w:rFonts w:ascii="Times New Roman" w:hAnsi="Times New Roman" w:cs="Times New Roman"/>
                <w:b w:val="0"/>
                <w:bCs w:val="0"/>
                <w:sz w:val="24"/>
                <w:szCs w:val="24"/>
              </w:rPr>
              <w:lastRenderedPageBreak/>
              <w:t>personnel, school and university students, and individuals entering the country for work or tourism; and enhancing international cooperation to combat this crime.</w:t>
            </w:r>
          </w:p>
        </w:tc>
        <w:tc>
          <w:tcPr>
            <w:tcW w:w="1998" w:type="dxa"/>
            <w:gridSpan w:val="2"/>
            <w:vAlign w:val="center"/>
          </w:tcPr>
          <w:p w14:paraId="6C890403"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Implemented</w:t>
            </w:r>
          </w:p>
        </w:tc>
        <w:tc>
          <w:tcPr>
            <w:tcW w:w="5109" w:type="dxa"/>
            <w:gridSpan w:val="2"/>
            <w:vAlign w:val="center"/>
          </w:tcPr>
          <w:p w14:paraId="5F6BC739" w14:textId="77777777" w:rsidR="005C5773" w:rsidRPr="00421D6F" w:rsidRDefault="005C5773" w:rsidP="005C5773">
            <w:pPr>
              <w:pStyle w:val="NormalWeb"/>
              <w:numPr>
                <w:ilvl w:val="0"/>
                <w:numId w:val="33"/>
              </w:numPr>
            </w:pPr>
            <w:r w:rsidRPr="00421D6F">
              <w:t xml:space="preserve">The National Committee to Combat Human Trafficking developed its 2025–2026 National Plan, which includes a dedicated awareness and media component. A subcommittee, the Awareness and Media Committee, was established to target law enforcement </w:t>
            </w:r>
            <w:r w:rsidRPr="00421D6F">
              <w:lastRenderedPageBreak/>
              <w:t>personnel, students, expatriates coming for work or tourism, as well as the general public.</w:t>
            </w:r>
          </w:p>
          <w:p w14:paraId="44C6B158" w14:textId="77777777" w:rsidR="005C5773" w:rsidRPr="00421D6F" w:rsidRDefault="005C5773" w:rsidP="005C5773">
            <w:pPr>
              <w:pStyle w:val="NormalWeb"/>
              <w:numPr>
                <w:ilvl w:val="0"/>
                <w:numId w:val="33"/>
              </w:numPr>
            </w:pPr>
            <w:r w:rsidRPr="00421D6F">
              <w:t>The committee launched the first specialized regional program to help law enforcement agencies acquire skills in investigation and detection of such crimes.</w:t>
            </w:r>
          </w:p>
          <w:p w14:paraId="158E5C6E" w14:textId="77777777" w:rsidR="005C5773" w:rsidRPr="00421D6F" w:rsidRDefault="005C5773" w:rsidP="005C5773">
            <w:pPr>
              <w:pStyle w:val="NormalWeb"/>
              <w:numPr>
                <w:ilvl w:val="0"/>
                <w:numId w:val="33"/>
              </w:numPr>
            </w:pPr>
            <w:r w:rsidRPr="00421D6F">
              <w:t>The National Plan also includes strengthening international cooperation, with a subcommittee named the International Cooperation Committee established for this purpose.</w:t>
            </w:r>
          </w:p>
          <w:p w14:paraId="117CAB2D" w14:textId="77777777" w:rsidR="005C5773" w:rsidRPr="00421D6F" w:rsidRDefault="005C5773" w:rsidP="005C5773">
            <w:pPr>
              <w:pStyle w:val="NormalWeb"/>
              <w:numPr>
                <w:ilvl w:val="0"/>
                <w:numId w:val="33"/>
              </w:numPr>
            </w:pPr>
            <w:r w:rsidRPr="00421D6F">
              <w:t>Civil society organizations, such as the Emirates Human Rights Association (a member of the Anti-Human Trafficking Committee), have contributed their views and participated in related activities.</w:t>
            </w:r>
          </w:p>
          <w:p w14:paraId="76BF8E33" w14:textId="77777777" w:rsidR="005C5773" w:rsidRPr="00421D6F" w:rsidRDefault="005C5773" w:rsidP="007D0033">
            <w:pPr>
              <w:pStyle w:val="NormalWeb"/>
            </w:pPr>
            <w:r w:rsidRPr="00421D6F">
              <w:rPr>
                <w:rStyle w:val="Strong"/>
              </w:rPr>
              <w:t>Examples of Civil Society Participation in Awareness Activities:</w:t>
            </w:r>
          </w:p>
          <w:p w14:paraId="2DBF24DA" w14:textId="77777777" w:rsidR="005C5773" w:rsidRPr="00421D6F" w:rsidRDefault="005C5773" w:rsidP="005C5773">
            <w:pPr>
              <w:pStyle w:val="NormalWeb"/>
              <w:numPr>
                <w:ilvl w:val="0"/>
                <w:numId w:val="34"/>
              </w:numPr>
            </w:pPr>
            <w:r w:rsidRPr="00421D6F">
              <w:rPr>
                <w:rStyle w:val="Emphasis"/>
              </w:rPr>
              <w:t>The Union Association for Human Rights:</w:t>
            </w:r>
            <w:r w:rsidRPr="00421D6F">
              <w:t xml:space="preserve"> Organized multiple awareness activities on human rights and combating human trafficking. During its participation in the 57th session of the Human Rights Council in Geneva, it held three cultural and human rights exhibitions and international events, delivering 23 oral and written statements in Arabic, English, and French, addressing key human rights issues including anti-human trafficking, crime prevention, and child rights protection. It also launched a campaign against violence towards women.</w:t>
            </w:r>
          </w:p>
          <w:p w14:paraId="18F58F72" w14:textId="77777777" w:rsidR="005C5773" w:rsidRPr="00421D6F" w:rsidRDefault="005C5773" w:rsidP="005C5773">
            <w:pPr>
              <w:pStyle w:val="NormalWeb"/>
              <w:numPr>
                <w:ilvl w:val="0"/>
                <w:numId w:val="34"/>
              </w:numPr>
            </w:pPr>
            <w:r w:rsidRPr="00421D6F">
              <w:rPr>
                <w:rStyle w:val="Emphasis"/>
              </w:rPr>
              <w:t>Emirates Human Rights Association:</w:t>
            </w:r>
            <w:r w:rsidRPr="00421D6F">
              <w:t xml:space="preserve"> In collaboration with the National Committee to Combat Human Trafficking and the Ministry of Interior, organized the event “United for Humanity and Dignity” in February 2024 to promote public awareness on the dangers of human trafficking.</w:t>
            </w:r>
          </w:p>
          <w:p w14:paraId="1F8CD07F" w14:textId="77777777" w:rsidR="005C5773" w:rsidRPr="00421D6F" w:rsidRDefault="005C5773" w:rsidP="005C5773">
            <w:pPr>
              <w:pStyle w:val="NormalWeb"/>
              <w:numPr>
                <w:ilvl w:val="0"/>
                <w:numId w:val="34"/>
              </w:numPr>
            </w:pPr>
            <w:r w:rsidRPr="00421D6F">
              <w:rPr>
                <w:rStyle w:val="Emphasis"/>
              </w:rPr>
              <w:t>Dubai Foundation for Women and Children:</w:t>
            </w:r>
            <w:r w:rsidRPr="00421D6F">
              <w:t xml:space="preserve"> Launches annual awareness campaigns coinciding with World Day Against Trafficking in Persons (July 30). In 2021, the campaign focused on the </w:t>
            </w:r>
            <w:r w:rsidRPr="00421D6F">
              <w:lastRenderedPageBreak/>
              <w:t>exploitation of children, especially sexual exploitation and forced labor.</w:t>
            </w:r>
          </w:p>
          <w:p w14:paraId="782767EF" w14:textId="77777777" w:rsidR="005C5773" w:rsidRPr="00421D6F" w:rsidRDefault="005C5773" w:rsidP="005C5773">
            <w:pPr>
              <w:pStyle w:val="NormalWeb"/>
              <w:numPr>
                <w:ilvl w:val="0"/>
                <w:numId w:val="34"/>
              </w:numPr>
              <w:rPr>
                <w:lang w:bidi="ar-BH"/>
              </w:rPr>
            </w:pPr>
            <w:r w:rsidRPr="00421D6F">
              <w:rPr>
                <w:rStyle w:val="Emphasis"/>
              </w:rPr>
              <w:t>Family Care Authority:</w:t>
            </w:r>
            <w:r w:rsidRPr="00421D6F">
              <w:t xml:space="preserve"> In August 2024, launched the “United Against Human Trafficking” campaign running until May 2025, supporting UNODC efforts and highlighting the UAE’s commitment to the National Committee’s plan.</w:t>
            </w:r>
          </w:p>
        </w:tc>
      </w:tr>
      <w:tr w:rsidR="005C5773" w:rsidRPr="00421D6F" w14:paraId="1DFECBCE" w14:textId="77777777" w:rsidTr="00C93156">
        <w:trPr>
          <w:gridAfter w:val="1"/>
          <w:wAfter w:w="7" w:type="dxa"/>
        </w:trPr>
        <w:tc>
          <w:tcPr>
            <w:tcW w:w="2932" w:type="dxa"/>
            <w:vAlign w:val="center"/>
          </w:tcPr>
          <w:p w14:paraId="7E9D2ECF"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lastRenderedPageBreak/>
              <w:t>38</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Issuance of a Code of Conduct for Judicial Authorities.</w:t>
            </w:r>
          </w:p>
        </w:tc>
        <w:tc>
          <w:tcPr>
            <w:tcW w:w="1998" w:type="dxa"/>
            <w:gridSpan w:val="2"/>
            <w:vAlign w:val="center"/>
          </w:tcPr>
          <w:p w14:paraId="6F19CA4F"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09" w:type="dxa"/>
            <w:gridSpan w:val="2"/>
            <w:vAlign w:val="center"/>
          </w:tcPr>
          <w:p w14:paraId="4B733681"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issued the Judicial Conduct Principles Document under Federal Supreme Council of the Judiciary President’s Decision No. 34 of 2024, fully covering all aspects of the recommendation and provisions of the Charter.</w:t>
            </w:r>
          </w:p>
        </w:tc>
      </w:tr>
      <w:tr w:rsidR="005C5773" w:rsidRPr="00421D6F" w14:paraId="22ABC13A" w14:textId="77777777" w:rsidTr="00C93156">
        <w:trPr>
          <w:gridAfter w:val="1"/>
          <w:wAfter w:w="7" w:type="dxa"/>
        </w:trPr>
        <w:tc>
          <w:tcPr>
            <w:tcW w:w="2932" w:type="dxa"/>
            <w:vAlign w:val="center"/>
          </w:tcPr>
          <w:p w14:paraId="52DD689D"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40</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Review of Federal Law No. (3) of 1983 on the Federal Judicial Authority to ensure the optimal independence of the Federal Supreme Judicial Council, with its composition and chairmanship from among judges, appointment of court presidents with Council approval, and granting it jurisdiction over all matters relating to judges.</w:t>
            </w:r>
          </w:p>
        </w:tc>
        <w:tc>
          <w:tcPr>
            <w:tcW w:w="1998" w:type="dxa"/>
            <w:gridSpan w:val="2"/>
            <w:vAlign w:val="center"/>
          </w:tcPr>
          <w:p w14:paraId="13033384"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09" w:type="dxa"/>
            <w:gridSpan w:val="2"/>
            <w:vAlign w:val="center"/>
          </w:tcPr>
          <w:p w14:paraId="7CDC18AE"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The UAE issued Federal Decree-Law No. (32) of 2022 on the Judiciary, ensuring judicial independence, non-interference in justice, and an independent budget, in line with Article (12) of the Arab Charter on Human Rights (guaranteeing judicial independence). The Council now has jurisdiction over all matters relating to judges.</w:t>
            </w:r>
          </w:p>
        </w:tc>
      </w:tr>
      <w:tr w:rsidR="005C5773" w:rsidRPr="00421D6F" w14:paraId="2F523380" w14:textId="77777777" w:rsidTr="00C93156">
        <w:trPr>
          <w:gridAfter w:val="1"/>
          <w:wAfter w:w="7" w:type="dxa"/>
        </w:trPr>
        <w:tc>
          <w:tcPr>
            <w:tcW w:w="2932" w:type="dxa"/>
            <w:vAlign w:val="center"/>
          </w:tcPr>
          <w:p w14:paraId="322084D8"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42</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Compensation for arbitrary or unlawful arrest or detention and for those acquitted.</w:t>
            </w:r>
          </w:p>
        </w:tc>
        <w:tc>
          <w:tcPr>
            <w:tcW w:w="1998" w:type="dxa"/>
            <w:gridSpan w:val="2"/>
            <w:vAlign w:val="center"/>
          </w:tcPr>
          <w:p w14:paraId="249523D8"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9" w:type="dxa"/>
            <w:gridSpan w:val="2"/>
            <w:vAlign w:val="center"/>
          </w:tcPr>
          <w:p w14:paraId="088CD2FD" w14:textId="77777777" w:rsidR="005C5773" w:rsidRPr="00421D6F" w:rsidRDefault="005C5773" w:rsidP="007D0033">
            <w:p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sz w:val="24"/>
                <w:szCs w:val="24"/>
                <w:lang w:eastAsia="en-GB"/>
              </w:rPr>
              <w:t>The Civil Transactions Law provides for civil claims for damages. Article 293 recognizes unlawful deprivation of liberty or harm to dignity, honor, or reputation as moral damage eligible for compensation. Article 380 of Federal Criminal Procedure Law No. 38 of 2022 allows victims or civil claimants to request temporary compensation, to be recorded in the proceedings.</w:t>
            </w:r>
          </w:p>
          <w:p w14:paraId="1D86EC42" w14:textId="77777777" w:rsidR="005C5773" w:rsidRPr="00421D6F" w:rsidRDefault="00000000" w:rsidP="007D0033">
            <w:pPr>
              <w:bidi w:val="0"/>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sz w:val="24"/>
                <w:szCs w:val="24"/>
                <w:lang w:eastAsia="en-GB"/>
              </w:rPr>
              <w:pict w14:anchorId="6CDABB3C">
                <v:rect id="_x0000_i1025" style="width:0;height:1.5pt" o:hralign="center" o:hrstd="t" o:hr="t" fillcolor="#a0a0a0" stroked="f"/>
              </w:pict>
            </w:r>
          </w:p>
          <w:p w14:paraId="5C226A3B" w14:textId="77777777" w:rsidR="005C5773" w:rsidRPr="00421D6F" w:rsidRDefault="005C5773" w:rsidP="007D0033">
            <w:pPr>
              <w:bidi w:val="0"/>
              <w:jc w:val="left"/>
              <w:rPr>
                <w:rFonts w:ascii="Times New Roman" w:hAnsi="Times New Roman" w:cs="Times New Roman"/>
                <w:sz w:val="24"/>
                <w:szCs w:val="24"/>
                <w:rtl/>
                <w:lang w:bidi="ar-BH"/>
              </w:rPr>
            </w:pPr>
          </w:p>
        </w:tc>
      </w:tr>
      <w:tr w:rsidR="005C5773" w:rsidRPr="00421D6F" w14:paraId="04B3DAF5" w14:textId="77777777" w:rsidTr="00C93156">
        <w:trPr>
          <w:gridAfter w:val="1"/>
          <w:wAfter w:w="7" w:type="dxa"/>
        </w:trPr>
        <w:tc>
          <w:tcPr>
            <w:tcW w:w="2932" w:type="dxa"/>
            <w:vAlign w:val="center"/>
          </w:tcPr>
          <w:p w14:paraId="7F8E75B6"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44</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Raising the age of criminal responsibility for juveniles to at least 12 years.</w:t>
            </w:r>
          </w:p>
        </w:tc>
        <w:tc>
          <w:tcPr>
            <w:tcW w:w="1998" w:type="dxa"/>
            <w:gridSpan w:val="2"/>
            <w:vAlign w:val="center"/>
          </w:tcPr>
          <w:p w14:paraId="1746BA82"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09" w:type="dxa"/>
            <w:gridSpan w:val="2"/>
            <w:vAlign w:val="center"/>
          </w:tcPr>
          <w:p w14:paraId="0F6DDC94"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Federal Law No. 6 of 2022 on Juvenile Delinquents and Those at Risk of Delinquency, Article (5), raises the age of criminal responsibility for juveniles to 12 years.</w:t>
            </w:r>
          </w:p>
        </w:tc>
      </w:tr>
      <w:tr w:rsidR="005C5773" w:rsidRPr="00421D6F" w14:paraId="226CDBD9" w14:textId="77777777" w:rsidTr="00C93156">
        <w:trPr>
          <w:gridAfter w:val="1"/>
          <w:wAfter w:w="7" w:type="dxa"/>
        </w:trPr>
        <w:tc>
          <w:tcPr>
            <w:tcW w:w="2932" w:type="dxa"/>
            <w:vAlign w:val="center"/>
          </w:tcPr>
          <w:p w14:paraId="02E39D88"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46</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 xml:space="preserve">Review of Federal Law No. (7) of 2014 on Combating Terrorist Crimes to ensure </w:t>
            </w:r>
            <w:r w:rsidRPr="00421D6F">
              <w:rPr>
                <w:rStyle w:val="Strong"/>
                <w:rFonts w:ascii="Times New Roman" w:hAnsi="Times New Roman" w:cs="Times New Roman"/>
                <w:b w:val="0"/>
                <w:bCs w:val="0"/>
                <w:sz w:val="24"/>
                <w:szCs w:val="24"/>
              </w:rPr>
              <w:lastRenderedPageBreak/>
              <w:t>suspects are promptly brought before a judge or competent judicial officer, tried within a reasonable time, or released with guarantees ensuring trial attendance, ensuring pretrial detention is not the general rule, in line with Article (14) of the Charter.</w:t>
            </w:r>
          </w:p>
        </w:tc>
        <w:tc>
          <w:tcPr>
            <w:tcW w:w="1998" w:type="dxa"/>
            <w:gridSpan w:val="2"/>
            <w:vAlign w:val="center"/>
          </w:tcPr>
          <w:p w14:paraId="711F2A8B"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Previously Implemented</w:t>
            </w:r>
          </w:p>
        </w:tc>
        <w:tc>
          <w:tcPr>
            <w:tcW w:w="5109" w:type="dxa"/>
            <w:gridSpan w:val="2"/>
            <w:vAlign w:val="center"/>
          </w:tcPr>
          <w:p w14:paraId="53B002EB"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The Criminal Procedure Law under Federal Decree-Law No. (38) of 2022 applies to terrorism-related cases, guaranteeing timely court appearance, reasonable trial periods, or release </w:t>
            </w:r>
            <w:r w:rsidRPr="00421D6F">
              <w:rPr>
                <w:rFonts w:ascii="Times New Roman" w:hAnsi="Times New Roman" w:cs="Times New Roman"/>
                <w:sz w:val="24"/>
                <w:szCs w:val="24"/>
              </w:rPr>
              <w:lastRenderedPageBreak/>
              <w:t>with guarantees. The only exception is under Article (49) of the Anti-Terrorism Law, which allows the Public Prosecution to order 14-day detention after interrogation, extendable up to 3 months, with further extensions requiring court approval—thus, pretrial detention is not the general rule.</w:t>
            </w:r>
          </w:p>
        </w:tc>
      </w:tr>
      <w:tr w:rsidR="005C5773" w:rsidRPr="00421D6F" w14:paraId="76E795A8" w14:textId="77777777" w:rsidTr="00C93156">
        <w:tc>
          <w:tcPr>
            <w:tcW w:w="2932" w:type="dxa"/>
            <w:vAlign w:val="center"/>
          </w:tcPr>
          <w:p w14:paraId="453ACB94"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lastRenderedPageBreak/>
              <w:t>48</w:t>
            </w:r>
            <w:r w:rsidRPr="00421D6F">
              <w:rPr>
                <w:rFonts w:ascii="Times New Roman" w:hAnsi="Times New Roman" w:cs="Times New Roman"/>
                <w:b/>
                <w:bCs/>
                <w:sz w:val="24"/>
                <w:szCs w:val="24"/>
              </w:rPr>
              <w:br/>
            </w:r>
            <w:r w:rsidRPr="00421D6F">
              <w:rPr>
                <w:rStyle w:val="Strong"/>
                <w:rFonts w:ascii="Times New Roman" w:hAnsi="Times New Roman" w:cs="Times New Roman"/>
                <w:b w:val="0"/>
                <w:bCs w:val="0"/>
                <w:sz w:val="24"/>
                <w:szCs w:val="24"/>
              </w:rPr>
              <w:t>Review of Law No. (2) of 2003 on State Security, Law No. (5) of 2012 on Cybercrimes, and Law No. (7) of 2014 on Combating Terrorist Crimes to ensure criminalized acts are clearly and precisely defined.</w:t>
            </w:r>
          </w:p>
        </w:tc>
        <w:tc>
          <w:tcPr>
            <w:tcW w:w="1998" w:type="dxa"/>
            <w:gridSpan w:val="2"/>
            <w:vAlign w:val="center"/>
          </w:tcPr>
          <w:p w14:paraId="7BA0CBFF"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Recommendation Unclear</w:t>
            </w:r>
          </w:p>
        </w:tc>
        <w:tc>
          <w:tcPr>
            <w:tcW w:w="5116" w:type="dxa"/>
            <w:gridSpan w:val="3"/>
            <w:vAlign w:val="center"/>
          </w:tcPr>
          <w:p w14:paraId="62BEF0AB" w14:textId="77777777" w:rsidR="005C5773" w:rsidRPr="00421D6F" w:rsidRDefault="005C5773" w:rsidP="007D0033">
            <w:pPr>
              <w:pStyle w:val="NormalWeb"/>
            </w:pPr>
            <w:r w:rsidRPr="00421D6F">
              <w:t>The Arab Charter on Human Rights Committee observed that certain laws contain vague and ambiguous definitions and elements of some criminal offenses, which makes it difficult to clearly identify the elements of the crime. This, in turn, contradicts the principle of legality of crimes and punishments and opens the door to arbitrary interpretation and misuse. However, upon our review as a public interest association of the referenced laws, it was not evident where exactly such “vague and ambiguous definitions and elements” in some crimes exist.</w:t>
            </w:r>
          </w:p>
          <w:p w14:paraId="5223B3DA" w14:textId="77777777" w:rsidR="005C5773" w:rsidRPr="00421D6F" w:rsidRDefault="005C5773" w:rsidP="007D0033">
            <w:pPr>
              <w:pStyle w:val="NormalWeb"/>
            </w:pPr>
            <w:r w:rsidRPr="00421D6F">
              <w:t>For example:</w:t>
            </w:r>
          </w:p>
          <w:p w14:paraId="3EB782F8" w14:textId="77777777" w:rsidR="005C5773" w:rsidRPr="00421D6F" w:rsidRDefault="005C5773" w:rsidP="005C5773">
            <w:pPr>
              <w:pStyle w:val="NormalWeb"/>
              <w:numPr>
                <w:ilvl w:val="0"/>
                <w:numId w:val="37"/>
              </w:numPr>
            </w:pPr>
            <w:r w:rsidRPr="00421D6F">
              <w:t>Federal Law No. (7) of 2014 on Combating Terrorism provides precise definitions of the terms used, such as “terrorist crime,” “terrorist purpose,” and “terrorist outcome,” which help to clearly determine the scope of criminalized acts.</w:t>
            </w:r>
          </w:p>
          <w:p w14:paraId="21283698" w14:textId="77777777" w:rsidR="005C5773" w:rsidRPr="00421D6F" w:rsidRDefault="005C5773" w:rsidP="005C5773">
            <w:pPr>
              <w:pStyle w:val="NormalWeb"/>
              <w:numPr>
                <w:ilvl w:val="0"/>
                <w:numId w:val="37"/>
              </w:numPr>
            </w:pPr>
            <w:r w:rsidRPr="00421D6F">
              <w:t>Likewise, Federal Decree-Law No. (34) of 2021 on Combating Rumors and Cybercrimes, which replaced the former Cybercrime Law, clearly and precisely defines criminalized acts and their elements. The law contains specific definitions of the terms used, such as “false data” and “illegal content,” thereby ensuring clarity in the scope of criminalized conduct. For instance, Article (1) of the law defines “false data” as “rumors and false or misleading information, whether wholly or partially, and whether by itself or within the context in which it appears.”</w:t>
            </w:r>
          </w:p>
          <w:p w14:paraId="1EC3182C" w14:textId="77777777" w:rsidR="005C5773" w:rsidRPr="00421D6F" w:rsidRDefault="005C5773" w:rsidP="005C5773">
            <w:pPr>
              <w:pStyle w:val="NormalWeb"/>
              <w:numPr>
                <w:ilvl w:val="0"/>
                <w:numId w:val="37"/>
              </w:numPr>
            </w:pPr>
            <w:r w:rsidRPr="00421D6F">
              <w:t xml:space="preserve">Similarly, Federal Law No. (2) of 2003 concerning the State Security Service </w:t>
            </w:r>
            <w:r w:rsidRPr="00421D6F">
              <w:lastRenderedPageBreak/>
              <w:t>clearly and precisely defines the agency’s tasks and powers. It specifies the criminalized acts and objectives the Service is mandated to achieve, along with its jurisdiction in safeguarding state security and combating activities that threaten it. For instance, the law defines the Service’s responsibilities in countering activities harmful to state security, addressing subversive and espionage activities, combating terrorism and organized crime, and maintaining national security.</w:t>
            </w:r>
          </w:p>
          <w:p w14:paraId="3D83173E" w14:textId="77777777" w:rsidR="005C5773" w:rsidRPr="00421D6F" w:rsidRDefault="005C5773" w:rsidP="007D0033">
            <w:pPr>
              <w:pStyle w:val="NormalWeb"/>
              <w:rPr>
                <w:b/>
                <w:bCs/>
              </w:rPr>
            </w:pPr>
            <w:r w:rsidRPr="00421D6F">
              <w:rPr>
                <w:b/>
                <w:bCs/>
              </w:rPr>
              <w:t>Accordingly, we recommend that the Arab Charter Committee clarify its recommendations in a more specific and precise manner, since referring only to the phrase “some criminal offenses” without identifying them is itself vague and ambiguous.</w:t>
            </w:r>
          </w:p>
          <w:p w14:paraId="691F7565" w14:textId="77777777" w:rsidR="005C5773" w:rsidRPr="00421D6F" w:rsidRDefault="005C5773" w:rsidP="007D0033">
            <w:pPr>
              <w:bidi w:val="0"/>
              <w:jc w:val="left"/>
              <w:rPr>
                <w:rFonts w:ascii="Times New Roman" w:hAnsi="Times New Roman" w:cs="Times New Roman"/>
                <w:b/>
                <w:bCs/>
                <w:sz w:val="24"/>
                <w:szCs w:val="24"/>
                <w:rtl/>
                <w:lang w:bidi="ar-BH"/>
              </w:rPr>
            </w:pPr>
          </w:p>
        </w:tc>
      </w:tr>
      <w:tr w:rsidR="005C5773" w:rsidRPr="00421D6F" w14:paraId="6222678B" w14:textId="77777777" w:rsidTr="00C93156">
        <w:tc>
          <w:tcPr>
            <w:tcW w:w="2932" w:type="dxa"/>
            <w:vAlign w:val="center"/>
          </w:tcPr>
          <w:p w14:paraId="2D653270"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51</w:t>
            </w:r>
            <w:r w:rsidRPr="00421D6F">
              <w:rPr>
                <w:rFonts w:ascii="Times New Roman" w:hAnsi="Times New Roman" w:cs="Times New Roman"/>
                <w:sz w:val="24"/>
                <w:szCs w:val="24"/>
              </w:rPr>
              <w:br/>
              <w:t>The Committee recommends that the state party consider making amendments to the legislation regulating the Federal National Council so that all or the majority of its members are elected rather than appointed; to ensure enabling citizens to participate in the conduct of public affairs of their country in accordance with the provisions of Article (24) of the Charter.</w:t>
            </w:r>
          </w:p>
        </w:tc>
        <w:tc>
          <w:tcPr>
            <w:tcW w:w="1998" w:type="dxa"/>
            <w:gridSpan w:val="2"/>
            <w:vAlign w:val="center"/>
          </w:tcPr>
          <w:p w14:paraId="1E4CB573"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We do not agree with the recommendation of the Charter Committee</w:t>
            </w:r>
          </w:p>
        </w:tc>
        <w:tc>
          <w:tcPr>
            <w:tcW w:w="5116" w:type="dxa"/>
            <w:gridSpan w:val="3"/>
            <w:vAlign w:val="center"/>
          </w:tcPr>
          <w:p w14:paraId="7FD9D08B" w14:textId="77777777" w:rsidR="005C5773" w:rsidRPr="00421D6F" w:rsidRDefault="005C5773" w:rsidP="007D0033">
            <w:pPr>
              <w:bidi w:val="0"/>
              <w:jc w:val="left"/>
              <w:rPr>
                <w:rFonts w:ascii="Times New Roman" w:eastAsia="Times New Roman" w:hAnsi="Times New Roman" w:cs="Times New Roman"/>
                <w:b/>
                <w:bCs/>
                <w:sz w:val="24"/>
                <w:szCs w:val="24"/>
                <w:rtl/>
              </w:rPr>
            </w:pPr>
            <w:r w:rsidRPr="00421D6F">
              <w:rPr>
                <w:rFonts w:ascii="Times New Roman" w:hAnsi="Times New Roman" w:cs="Times New Roman"/>
                <w:sz w:val="24"/>
                <w:szCs w:val="24"/>
              </w:rPr>
              <w:t>We see no need for amendment at the present time, as it does not achieve the desired balance between popular representation and political stability. The combination of appointment and election is considered part of the political empowerment program that aims to gradually enhance citizens’ participation in political life while maintaining stability and balance between the different Emirates of the Union. This is a step towards enhancing popular participation in a manner consistent with the cultural, social, and political context of the UAE.</w:t>
            </w:r>
            <w:r w:rsidRPr="00421D6F">
              <w:rPr>
                <w:rFonts w:ascii="Times New Roman" w:hAnsi="Times New Roman" w:cs="Times New Roman"/>
                <w:sz w:val="24"/>
                <w:szCs w:val="24"/>
              </w:rPr>
              <w:br/>
              <w:t>The legislation of the UAE regulating the Federal National Council consists of a mix of appointment and election in selecting its members. The Council consists of 40 members, half of whom (20 members) are elected by electoral bodies in each Emirate, while the other half (20 members) are appointed by the Rulers of the Emirates.</w:t>
            </w:r>
            <w:r w:rsidRPr="00421D6F">
              <w:rPr>
                <w:rFonts w:ascii="Times New Roman" w:hAnsi="Times New Roman" w:cs="Times New Roman"/>
                <w:sz w:val="24"/>
                <w:szCs w:val="24"/>
              </w:rPr>
              <w:br/>
              <w:t xml:space="preserve">This distribution aims to achieve a balance between popular representation and government participation in the Council. Although only half of the members are elected, this step is considered part of the political empowerment program launched by the late Sheikh Khalifa bin Zayed Al Nahyan, which seeks to enhance citizens’ </w:t>
            </w:r>
            <w:r w:rsidRPr="00421D6F">
              <w:rPr>
                <w:rFonts w:ascii="Times New Roman" w:hAnsi="Times New Roman" w:cs="Times New Roman"/>
                <w:sz w:val="24"/>
                <w:szCs w:val="24"/>
              </w:rPr>
              <w:lastRenderedPageBreak/>
              <w:t>participation in the conduct of public affairs.</w:t>
            </w:r>
            <w:r w:rsidRPr="00421D6F">
              <w:rPr>
                <w:rFonts w:ascii="Times New Roman" w:hAnsi="Times New Roman" w:cs="Times New Roman"/>
                <w:sz w:val="24"/>
                <w:szCs w:val="24"/>
              </w:rPr>
              <w:br/>
              <w:t>In addition, the percentage of women’s representation in the Federal National Council was raised to 50% starting from the 2019 electoral cycle, reflecting the UAE’s commitment to enhancing the role of women in political and public life.</w:t>
            </w:r>
            <w:r w:rsidRPr="00421D6F">
              <w:rPr>
                <w:rFonts w:ascii="Times New Roman" w:hAnsi="Times New Roman" w:cs="Times New Roman"/>
                <w:sz w:val="24"/>
                <w:szCs w:val="24"/>
              </w:rPr>
              <w:br/>
            </w:r>
            <w:r w:rsidRPr="00421D6F">
              <w:rPr>
                <w:rFonts w:ascii="Times New Roman" w:hAnsi="Times New Roman" w:cs="Times New Roman"/>
                <w:b/>
                <w:bCs/>
                <w:sz w:val="24"/>
                <w:szCs w:val="24"/>
              </w:rPr>
              <w:t>Accordingly, the UAE seeks to enhance citizens’ participation in the conduct of public affairs while taking into account the balance between appointment and election in forming the Federal National Council.</w:t>
            </w:r>
          </w:p>
        </w:tc>
      </w:tr>
      <w:tr w:rsidR="005C5773" w:rsidRPr="00421D6F" w14:paraId="357FD63F" w14:textId="77777777" w:rsidTr="00C93156">
        <w:tc>
          <w:tcPr>
            <w:tcW w:w="2932" w:type="dxa"/>
            <w:vAlign w:val="center"/>
          </w:tcPr>
          <w:p w14:paraId="5CEB33DC"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53</w:t>
            </w:r>
            <w:r w:rsidRPr="00421D6F">
              <w:rPr>
                <w:rFonts w:ascii="Times New Roman" w:hAnsi="Times New Roman" w:cs="Times New Roman"/>
                <w:sz w:val="24"/>
                <w:szCs w:val="24"/>
              </w:rPr>
              <w:br/>
              <w:t>Enact a law that sets frameworks for regulated political practice, ensuring the fulfillment of rights to freedom of political practices, participation in the management of state affairs, freedom of association, freedom of assembly and gathering, and the right to nominate oneself or choose a representative.</w:t>
            </w:r>
          </w:p>
        </w:tc>
        <w:tc>
          <w:tcPr>
            <w:tcW w:w="1998" w:type="dxa"/>
            <w:gridSpan w:val="2"/>
            <w:vAlign w:val="center"/>
          </w:tcPr>
          <w:p w14:paraId="46315C22"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16" w:type="dxa"/>
            <w:gridSpan w:val="3"/>
            <w:vAlign w:val="center"/>
          </w:tcPr>
          <w:p w14:paraId="6EA85CB1" w14:textId="77777777" w:rsidR="005C5773" w:rsidRPr="00421D6F" w:rsidRDefault="005C5773" w:rsidP="007D0033">
            <w:pPr>
              <w:pStyle w:val="NormalWeb"/>
            </w:pPr>
            <w:r w:rsidRPr="00421D6F">
              <w:t>National legislation and laws, starting from the Constitution, guarantee legal frameworks for regulated political practice, ensuring the fulfillment of rights to freedom of political practices, participation in the management of state affairs, freedom of association, freedom of assembly and gathering, and the right to nominate oneself or choose a representative, as follows:</w:t>
            </w:r>
          </w:p>
          <w:p w14:paraId="4BF8D20F" w14:textId="77777777" w:rsidR="005C5773" w:rsidRPr="00421D6F" w:rsidRDefault="005C5773" w:rsidP="007D0033">
            <w:pPr>
              <w:pStyle w:val="NormalWeb"/>
              <w:numPr>
                <w:ilvl w:val="0"/>
                <w:numId w:val="9"/>
              </w:numPr>
            </w:pPr>
            <w:r w:rsidRPr="00421D6F">
              <w:rPr>
                <w:rStyle w:val="Strong"/>
              </w:rPr>
              <w:t>UAE Constitution</w:t>
            </w:r>
            <w:r w:rsidRPr="00421D6F">
              <w:t>: Article 33 of the Constitution states that “freedom of assembly and association is guaranteed within the limits of the law.” This means that these freedoms are constitutionally recognized but subject to legal regulation. The law that regulates them is Federal Decree-Law No. (50) of 2023 on the regulation of public benefit institutions. This decree aims to regulate the work of associations and public benefit organizations, define the legal frameworks for their activities in meeting, gathering, and forming associations, and ensure their commitment to activities serving the community without seeking material profit.</w:t>
            </w:r>
          </w:p>
          <w:p w14:paraId="239F68AF" w14:textId="77777777" w:rsidR="005C5773" w:rsidRPr="00421D6F" w:rsidRDefault="005C5773" w:rsidP="007D0033">
            <w:pPr>
              <w:pStyle w:val="NormalWeb"/>
              <w:numPr>
                <w:ilvl w:val="0"/>
                <w:numId w:val="9"/>
              </w:numPr>
              <w:rPr>
                <w:rtl/>
                <w:lang w:bidi="ar-BH"/>
              </w:rPr>
            </w:pPr>
            <w:r w:rsidRPr="00421D6F">
              <w:rPr>
                <w:rStyle w:val="Strong"/>
              </w:rPr>
              <w:t>Presidential Decision No. (3) of 2006</w:t>
            </w:r>
            <w:r w:rsidRPr="00421D6F">
              <w:t xml:space="preserve"> on determining the method of selecting the UAE’s representatives in the Federal National Council and the establishment of a ministry specialized in Federal National Council affairs in 2006 ensures freedom of political practice, participation in state affairs management, candidacy, and election.</w:t>
            </w:r>
          </w:p>
        </w:tc>
      </w:tr>
      <w:tr w:rsidR="005C5773" w:rsidRPr="00421D6F" w14:paraId="07E409C8" w14:textId="77777777" w:rsidTr="00C93156">
        <w:tc>
          <w:tcPr>
            <w:tcW w:w="2932" w:type="dxa"/>
            <w:vAlign w:val="center"/>
          </w:tcPr>
          <w:p w14:paraId="044AEC1B"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55</w:t>
            </w:r>
            <w:r w:rsidRPr="00421D6F">
              <w:rPr>
                <w:rFonts w:ascii="Times New Roman" w:hAnsi="Times New Roman" w:cs="Times New Roman"/>
                <w:sz w:val="24"/>
                <w:szCs w:val="24"/>
              </w:rPr>
              <w:br/>
              <w:t>Enact specific legal rules to guarantee the right to organize peaceful assemblies and marches.</w:t>
            </w:r>
          </w:p>
        </w:tc>
        <w:tc>
          <w:tcPr>
            <w:tcW w:w="1998" w:type="dxa"/>
            <w:gridSpan w:val="2"/>
            <w:vAlign w:val="center"/>
          </w:tcPr>
          <w:p w14:paraId="49508AA5" w14:textId="77777777" w:rsidR="005C5773" w:rsidRPr="00421D6F" w:rsidRDefault="005C5773" w:rsidP="007D0033">
            <w:pPr>
              <w:bidi w:val="0"/>
              <w:jc w:val="center"/>
              <w:rPr>
                <w:rFonts w:ascii="Times New Roman" w:eastAsia="Times New Roman" w:hAnsi="Times New Roman" w:cs="Times New Roman"/>
                <w:b/>
                <w:bCs/>
                <w:sz w:val="24"/>
                <w:szCs w:val="24"/>
                <w:rtl/>
                <w:lang w:bidi="ar-BH"/>
              </w:rPr>
            </w:pPr>
            <w:r w:rsidRPr="00421D6F">
              <w:rPr>
                <w:rStyle w:val="Strong"/>
                <w:rFonts w:ascii="Times New Roman" w:hAnsi="Times New Roman" w:cs="Times New Roman"/>
                <w:b w:val="0"/>
                <w:bCs w:val="0"/>
                <w:sz w:val="24"/>
                <w:szCs w:val="24"/>
              </w:rPr>
              <w:t>Implemented</w:t>
            </w:r>
          </w:p>
        </w:tc>
        <w:tc>
          <w:tcPr>
            <w:tcW w:w="5116" w:type="dxa"/>
            <w:gridSpan w:val="3"/>
            <w:vAlign w:val="center"/>
          </w:tcPr>
          <w:p w14:paraId="31E3B6AE" w14:textId="77777777" w:rsidR="005C5773" w:rsidRPr="00421D6F" w:rsidRDefault="005C5773" w:rsidP="007D0033">
            <w:pPr>
              <w:pStyle w:val="NormalWeb"/>
              <w:spacing w:before="0" w:beforeAutospacing="0" w:after="0" w:afterAutospacing="0"/>
              <w:rPr>
                <w:rtl/>
                <w:lang w:bidi="ar-BH"/>
              </w:rPr>
            </w:pPr>
            <w:r w:rsidRPr="00421D6F">
              <w:t>The Law on Combating Rumors and Cybercrimes No. 34 of 2021, Article (26), stipulates a penalty for calling for or promoting demonstrations, marches, or similar activities without a permit.</w:t>
            </w:r>
          </w:p>
        </w:tc>
      </w:tr>
      <w:tr w:rsidR="005C5773" w:rsidRPr="00421D6F" w14:paraId="24A34AA2" w14:textId="77777777" w:rsidTr="00C93156">
        <w:tc>
          <w:tcPr>
            <w:tcW w:w="2932" w:type="dxa"/>
            <w:vAlign w:val="center"/>
          </w:tcPr>
          <w:p w14:paraId="5257E598"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t>56</w:t>
            </w:r>
            <w:r w:rsidRPr="00421D6F">
              <w:rPr>
                <w:rFonts w:ascii="Times New Roman" w:hAnsi="Times New Roman" w:cs="Times New Roman"/>
                <w:sz w:val="24"/>
                <w:szCs w:val="24"/>
              </w:rPr>
              <w:br/>
              <w:t>Enable civil society institutions to play their role in society and engage in human rights work.</w:t>
            </w:r>
          </w:p>
        </w:tc>
        <w:tc>
          <w:tcPr>
            <w:tcW w:w="1998" w:type="dxa"/>
            <w:gridSpan w:val="2"/>
            <w:vAlign w:val="center"/>
          </w:tcPr>
          <w:p w14:paraId="110FCAF1"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16" w:type="dxa"/>
            <w:gridSpan w:val="3"/>
            <w:vAlign w:val="center"/>
          </w:tcPr>
          <w:p w14:paraId="25E94769" w14:textId="77777777" w:rsidR="005C5773" w:rsidRPr="00421D6F" w:rsidRDefault="005C5773" w:rsidP="005C5773">
            <w:pPr>
              <w:pStyle w:val="NormalWeb"/>
              <w:numPr>
                <w:ilvl w:val="0"/>
                <w:numId w:val="37"/>
              </w:numPr>
            </w:pPr>
            <w:r w:rsidRPr="00421D6F">
              <w:t>The UAE issued Federal Decree-Law No. 50 of 2023 on regulating the work of public benefit institutions, which addressed all the concerns contained in the recommendation, in line with the provisions of the Charter. The law guarantees all civil society institutions, including those working in the field of human rights, the freedom and independence to carry out their activities. The UAE has licensed the Union Association for Human Rights as an association working in human rights at the national, regional, and international levels. The UAE ensures that human rights associations operate freely and independently and is keen to involve them in everything related to promoting the human rights situation in the country.</w:t>
            </w:r>
          </w:p>
          <w:p w14:paraId="0165420B" w14:textId="77777777" w:rsidR="005C5773" w:rsidRPr="00421D6F" w:rsidRDefault="005C5773" w:rsidP="005C5773">
            <w:pPr>
              <w:pStyle w:val="NormalWeb"/>
              <w:numPr>
                <w:ilvl w:val="0"/>
                <w:numId w:val="37"/>
              </w:numPr>
              <w:rPr>
                <w:b/>
                <w:bCs/>
                <w:rtl/>
                <w:lang w:bidi="ar-BH"/>
              </w:rPr>
            </w:pPr>
            <w:r w:rsidRPr="00421D6F">
              <w:rPr>
                <w:b/>
                <w:bCs/>
              </w:rPr>
              <w:t>We, as the Union Association for Human Rights, affirm that the UAE has provided a supportive environment for civil society institutions and encouraged them to play their role in society through financial and administrative support. This is evidenced by its continuous encouragement to establish specialized human rights associations, resulting in the licensing of the Union Association for Human Rights in January 2024. Through the Association, we have contributed to spreading a culture of human rights to all groups, including priority groups, as well as receiving complaints and coordinating with the concerned authorities to resolve them.</w:t>
            </w:r>
          </w:p>
        </w:tc>
      </w:tr>
      <w:tr w:rsidR="005C5773" w:rsidRPr="00421D6F" w14:paraId="54F65C32" w14:textId="77777777" w:rsidTr="00C93156">
        <w:tc>
          <w:tcPr>
            <w:tcW w:w="2932" w:type="dxa"/>
            <w:vAlign w:val="center"/>
          </w:tcPr>
          <w:p w14:paraId="2772E9E4"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t>58</w:t>
            </w:r>
            <w:r w:rsidRPr="00421D6F">
              <w:rPr>
                <w:rFonts w:ascii="Times New Roman" w:hAnsi="Times New Roman" w:cs="Times New Roman"/>
                <w:sz w:val="24"/>
                <w:szCs w:val="24"/>
              </w:rPr>
              <w:br/>
              <w:t xml:space="preserve">Amend Federal Law No. (6) of 1973 on the Entry and Residence of Foreigners to ensure </w:t>
            </w:r>
            <w:r w:rsidRPr="00421D6F">
              <w:rPr>
                <w:rFonts w:ascii="Times New Roman" w:hAnsi="Times New Roman" w:cs="Times New Roman"/>
                <w:sz w:val="24"/>
                <w:szCs w:val="24"/>
              </w:rPr>
              <w:lastRenderedPageBreak/>
              <w:t>prohibiting the deportation of a foreigner from the state party to another state where they may be at risk of torture or cruel, inhuman, or degrading treatment.</w:t>
            </w:r>
          </w:p>
        </w:tc>
        <w:tc>
          <w:tcPr>
            <w:tcW w:w="1998" w:type="dxa"/>
            <w:gridSpan w:val="2"/>
            <w:vAlign w:val="center"/>
          </w:tcPr>
          <w:p w14:paraId="7E83A847"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Already implemented</w:t>
            </w:r>
          </w:p>
        </w:tc>
        <w:tc>
          <w:tcPr>
            <w:tcW w:w="5116" w:type="dxa"/>
            <w:gridSpan w:val="3"/>
            <w:vAlign w:val="center"/>
          </w:tcPr>
          <w:p w14:paraId="1BDBA930"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The UAE acceded to the Convention against Torture in 2012. In accordance with this Convention, Article (3) obligates the UAE not to expel, return, or extradite any person to another state if there are substantial grounds for believing </w:t>
            </w:r>
            <w:r w:rsidRPr="00421D6F">
              <w:rPr>
                <w:rFonts w:ascii="Times New Roman" w:hAnsi="Times New Roman" w:cs="Times New Roman"/>
                <w:sz w:val="24"/>
                <w:szCs w:val="24"/>
              </w:rPr>
              <w:lastRenderedPageBreak/>
              <w:t>that they would be in danger of being subjected to torture.</w:t>
            </w:r>
          </w:p>
        </w:tc>
      </w:tr>
      <w:tr w:rsidR="005C5773" w:rsidRPr="00421D6F" w14:paraId="3B2AAEBB" w14:textId="77777777" w:rsidTr="00C93156">
        <w:trPr>
          <w:gridAfter w:val="2"/>
          <w:wAfter w:w="13" w:type="dxa"/>
        </w:trPr>
        <w:tc>
          <w:tcPr>
            <w:tcW w:w="2932" w:type="dxa"/>
            <w:vAlign w:val="center"/>
          </w:tcPr>
          <w:p w14:paraId="0A3BC821"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60</w:t>
            </w:r>
            <w:r w:rsidRPr="00421D6F">
              <w:rPr>
                <w:rFonts w:ascii="Times New Roman" w:hAnsi="Times New Roman" w:cs="Times New Roman"/>
                <w:sz w:val="24"/>
                <w:szCs w:val="24"/>
              </w:rPr>
              <w:br/>
              <w:t>Amend Federal Law No. 6 of 1973 to enable resident foreigners to appeal judicially against deportation decisions.</w:t>
            </w:r>
          </w:p>
        </w:tc>
        <w:tc>
          <w:tcPr>
            <w:tcW w:w="1998" w:type="dxa"/>
            <w:gridSpan w:val="2"/>
            <w:vAlign w:val="center"/>
          </w:tcPr>
          <w:p w14:paraId="327944EC"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03" w:type="dxa"/>
            <w:vAlign w:val="center"/>
          </w:tcPr>
          <w:p w14:paraId="7155EEA5" w14:textId="77777777" w:rsidR="005C5773" w:rsidRPr="00421D6F" w:rsidRDefault="005C5773" w:rsidP="007D0033">
            <w:pPr>
              <w:pStyle w:val="NormalWeb"/>
            </w:pPr>
            <w:r w:rsidRPr="00421D6F">
              <w:t>Yes, deportation decisions in the UAE can be appealed, whether they are judicial or administrative.</w:t>
            </w:r>
          </w:p>
          <w:p w14:paraId="08B112C7" w14:textId="77777777" w:rsidR="005C5773" w:rsidRPr="00421D6F" w:rsidRDefault="005C5773" w:rsidP="007D0033">
            <w:pPr>
              <w:pStyle w:val="NormalWeb"/>
            </w:pPr>
            <w:r w:rsidRPr="00421D6F">
              <w:rPr>
                <w:rStyle w:val="Strong"/>
              </w:rPr>
              <w:t>Judicial deportation:</w:t>
            </w:r>
            <w:r w:rsidRPr="00421D6F">
              <w:br/>
              <w:t>This is issued by a court ruling against a foreigner convicted of a felony or misdemeanor. In this case, the affected person may submit a request to the Public Prosecution to consider canceling the deportation order, along with reasons and supporting documents. The request is then referred to the competent committee for decision. An electronic service for canceling deportation is also available through the Public Prosecution’s website.</w:t>
            </w:r>
          </w:p>
          <w:p w14:paraId="0C29FFE3" w14:textId="77777777" w:rsidR="005C5773" w:rsidRPr="00421D6F" w:rsidRDefault="005C5773" w:rsidP="007D0033">
            <w:pPr>
              <w:pStyle w:val="NormalWeb"/>
            </w:pPr>
            <w:r w:rsidRPr="00421D6F">
              <w:rPr>
                <w:rStyle w:val="Strong"/>
              </w:rPr>
              <w:t>Administrative deportation:</w:t>
            </w:r>
            <w:r w:rsidRPr="00421D6F">
              <w:br/>
              <w:t>Administrative deportation is issued by the Federal Authority for Identity and Citizenship for reasons related to public interest, public security, or public morals. In this case, the affected person may submit a petition to the General Directorate of Residency and Foreigners Affairs in the concerned emirate, explaining the reasons and circumstances that justify reconsidering the deportation decision.</w:t>
            </w:r>
          </w:p>
          <w:p w14:paraId="424A65A8" w14:textId="77777777" w:rsidR="005C5773" w:rsidRPr="00421D6F" w:rsidRDefault="005C5773" w:rsidP="007D0033">
            <w:pPr>
              <w:bidi w:val="0"/>
              <w:jc w:val="left"/>
              <w:rPr>
                <w:rFonts w:ascii="Times New Roman" w:eastAsia="Times New Roman" w:hAnsi="Times New Roman" w:cs="Times New Roman"/>
                <w:sz w:val="24"/>
                <w:szCs w:val="24"/>
                <w:rtl/>
              </w:rPr>
            </w:pPr>
          </w:p>
        </w:tc>
      </w:tr>
      <w:tr w:rsidR="005C5773" w:rsidRPr="00421D6F" w14:paraId="48EB619C" w14:textId="77777777" w:rsidTr="00C93156">
        <w:trPr>
          <w:gridAfter w:val="2"/>
          <w:wAfter w:w="13" w:type="dxa"/>
        </w:trPr>
        <w:tc>
          <w:tcPr>
            <w:tcW w:w="2932" w:type="dxa"/>
            <w:vAlign w:val="center"/>
          </w:tcPr>
          <w:p w14:paraId="6F7E0775"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t>62</w:t>
            </w:r>
            <w:r w:rsidRPr="00421D6F">
              <w:rPr>
                <w:rFonts w:ascii="Times New Roman" w:hAnsi="Times New Roman" w:cs="Times New Roman"/>
                <w:sz w:val="24"/>
                <w:szCs w:val="24"/>
              </w:rPr>
              <w:br/>
              <w:t>Amend Federal Law No. (17) of 1972 on Nationality and Passports to ensure that the refusal to renew or withdrawal of a passport is only by decision of a judicial authority.</w:t>
            </w:r>
          </w:p>
        </w:tc>
        <w:tc>
          <w:tcPr>
            <w:tcW w:w="1998" w:type="dxa"/>
            <w:gridSpan w:val="2"/>
            <w:vAlign w:val="center"/>
          </w:tcPr>
          <w:p w14:paraId="50F1174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03" w:type="dxa"/>
            <w:vAlign w:val="center"/>
          </w:tcPr>
          <w:p w14:paraId="4C17D24B"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According to Federal Law No. (17) of 1972 on Nationality and Passports, Article (41) does not make the refusal to renew or withdraw general but limits it to “special reasons.” Article (41) is complemented by Article (42), which clarifies that the reasons for withdrawal or non-renewal are “withdrawal or revocation of nationality.” It should be noted that the withdrawal or revocation of nationality can only be by Federal Decree according to Article (20) of Federal Decree-Law No. (16) of 2017 amending certain provisions of Federal Law No. 17 of 1972 on Nationality and Passports.</w:t>
            </w:r>
          </w:p>
        </w:tc>
      </w:tr>
      <w:tr w:rsidR="005C5773" w:rsidRPr="00421D6F" w14:paraId="4850D2B7" w14:textId="77777777" w:rsidTr="00C93156">
        <w:trPr>
          <w:gridAfter w:val="2"/>
          <w:wAfter w:w="13" w:type="dxa"/>
        </w:trPr>
        <w:tc>
          <w:tcPr>
            <w:tcW w:w="2932" w:type="dxa"/>
            <w:vAlign w:val="center"/>
          </w:tcPr>
          <w:p w14:paraId="090C79C3"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66</w:t>
            </w:r>
            <w:r w:rsidRPr="00421D6F">
              <w:rPr>
                <w:rFonts w:ascii="Times New Roman" w:hAnsi="Times New Roman" w:cs="Times New Roman"/>
                <w:sz w:val="24"/>
                <w:szCs w:val="24"/>
              </w:rPr>
              <w:br/>
              <w:t>Abolish the penalty of imprisonment in publication cases by amending the relevant provisions in the Penal Code and the Federal Law on Publications and Publishing, and ensure that the proposed amendments to Federal Law No. (15) of 1980 on Publications and Publishing are consistent with Article (32) of the Arab Charter on Human Rights and enhance freedom of opinion and expression. The Committee also recommends providing more protection for press freedom, the safety of journalists, and respect for media independence, including activating self-regulation mechanisms for the media.</w:t>
            </w:r>
          </w:p>
        </w:tc>
        <w:tc>
          <w:tcPr>
            <w:tcW w:w="1998" w:type="dxa"/>
            <w:gridSpan w:val="2"/>
            <w:vAlign w:val="center"/>
          </w:tcPr>
          <w:p w14:paraId="3EA7EA62"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Implemented</w:t>
            </w:r>
          </w:p>
        </w:tc>
        <w:tc>
          <w:tcPr>
            <w:tcW w:w="5103" w:type="dxa"/>
            <w:vAlign w:val="center"/>
          </w:tcPr>
          <w:p w14:paraId="4AD78273" w14:textId="77777777" w:rsidR="005C5773" w:rsidRPr="00421D6F" w:rsidRDefault="005C5773" w:rsidP="005C5773">
            <w:pPr>
              <w:pStyle w:val="NormalWeb"/>
              <w:numPr>
                <w:ilvl w:val="0"/>
                <w:numId w:val="37"/>
              </w:numPr>
            </w:pPr>
            <w:r w:rsidRPr="00421D6F">
              <w:t>The UAE issued Federal Decree-Law No. 55 of 2023 on Media Regulation, which does not include imprisonment penalties for publication cases. The law guarantees the enhancement of freedom of opinion and expression, freedom of journalists, and regulates the independence and operation of media in line with paragraph two of Article 32 of the Arab Charter on Human Rights.</w:t>
            </w:r>
          </w:p>
          <w:p w14:paraId="48B44F3E" w14:textId="77777777" w:rsidR="005C5773" w:rsidRPr="00421D6F" w:rsidRDefault="005C5773" w:rsidP="005C5773">
            <w:pPr>
              <w:pStyle w:val="NormalWeb"/>
              <w:numPr>
                <w:ilvl w:val="0"/>
                <w:numId w:val="37"/>
              </w:numPr>
              <w:rPr>
                <w:rtl/>
                <w:lang w:bidi="ar-BH"/>
              </w:rPr>
            </w:pPr>
            <w:r w:rsidRPr="00421D6F">
              <w:t>His Highness Sheikh Mohammed bin Rashid Al Maktoum, Vice President and Prime Minister of the UAE and Ruler of Dubai, also issued a decision abolishing the imprisonment of journalists when related to their journalistic work.</w:t>
            </w:r>
          </w:p>
        </w:tc>
      </w:tr>
      <w:tr w:rsidR="005C5773" w:rsidRPr="00421D6F" w14:paraId="23CD6DFB" w14:textId="77777777" w:rsidTr="00C93156">
        <w:trPr>
          <w:gridAfter w:val="2"/>
          <w:wAfter w:w="13" w:type="dxa"/>
        </w:trPr>
        <w:tc>
          <w:tcPr>
            <w:tcW w:w="2932" w:type="dxa"/>
            <w:vAlign w:val="center"/>
          </w:tcPr>
          <w:p w14:paraId="5FB0A479"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t>67</w:t>
            </w:r>
            <w:r w:rsidRPr="00421D6F">
              <w:rPr>
                <w:rFonts w:ascii="Times New Roman" w:hAnsi="Times New Roman" w:cs="Times New Roman"/>
                <w:sz w:val="24"/>
                <w:szCs w:val="24"/>
              </w:rPr>
              <w:br/>
              <w:t>The Committee reiterates its recommendation that the state party enact federal legislation guaranteeing individuals’ right to access, obtain, and disseminate information, data, statistics, and documents</w:t>
            </w:r>
          </w:p>
        </w:tc>
        <w:tc>
          <w:tcPr>
            <w:tcW w:w="1998" w:type="dxa"/>
            <w:gridSpan w:val="2"/>
            <w:vAlign w:val="center"/>
          </w:tcPr>
          <w:p w14:paraId="16A2A8A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03" w:type="dxa"/>
            <w:vAlign w:val="center"/>
          </w:tcPr>
          <w:p w14:paraId="792DABD8" w14:textId="77777777" w:rsidR="005C5773" w:rsidRPr="00421D6F" w:rsidRDefault="005C5773" w:rsidP="007D0033">
            <w:pPr>
              <w:pStyle w:val="NormalWeb"/>
            </w:pPr>
            <w:r w:rsidRPr="00421D6F">
              <w:t>The UAE seeks to enhance transparency and provide access to government information. In this context, the government issued the “Guideline for Accessing Government Information from Federal Entities,” which aims to set the basic principles for accessing information from federal government entities to enhance public participation and inform them about the procedures and decisions of government entities in all matters, policies, and processes affecting individuals and institutions in society. At the same time, the UAE guarantees the right to privacy and data protection under Federal Law No. 45 of 2021 on Personal Data Protection, ensuring the privacy and confidentiality of personal information and protecting society. It also commits to providing the necessary governance for data and enhancing its protection under the law in terms of collection, storage, publication, and protection.</w:t>
            </w:r>
          </w:p>
          <w:p w14:paraId="682663BE" w14:textId="77777777" w:rsidR="005C5773" w:rsidRPr="00421D6F" w:rsidRDefault="005C5773" w:rsidP="007D0033">
            <w:pPr>
              <w:bidi w:val="0"/>
              <w:jc w:val="left"/>
              <w:rPr>
                <w:rFonts w:ascii="Times New Roman" w:eastAsia="Times New Roman" w:hAnsi="Times New Roman" w:cs="Times New Roman"/>
                <w:sz w:val="24"/>
                <w:szCs w:val="24"/>
                <w:rtl/>
                <w:lang w:bidi="ar-BH"/>
              </w:rPr>
            </w:pPr>
          </w:p>
        </w:tc>
      </w:tr>
      <w:tr w:rsidR="005C5773" w:rsidRPr="00421D6F" w14:paraId="56D9B237" w14:textId="77777777" w:rsidTr="00C93156">
        <w:trPr>
          <w:gridAfter w:val="2"/>
          <w:wAfter w:w="13" w:type="dxa"/>
        </w:trPr>
        <w:tc>
          <w:tcPr>
            <w:tcW w:w="2932" w:type="dxa"/>
            <w:vAlign w:val="center"/>
          </w:tcPr>
          <w:p w14:paraId="1B00F6A0"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71</w:t>
            </w:r>
            <w:r w:rsidRPr="00421D6F">
              <w:rPr>
                <w:rFonts w:ascii="Times New Roman" w:hAnsi="Times New Roman" w:cs="Times New Roman"/>
                <w:sz w:val="24"/>
                <w:szCs w:val="24"/>
              </w:rPr>
              <w:br/>
              <w:t>Intensify efforts to raise public awareness of the dangers of domestic violence and its negative effects on society, and promote positive, non-violent, and participatory forms of child upbringing. It also recommends encouraging reporting domestic violence crimes by providing victims with information on reporting channels, available legal aid services, and rehabilitation and shelter services. It further recommends providing a sufficient number of shelters for victims seeking refuge from domestic violence, covering all areas of the state party, and equipping them with the necessary resources. The Committee also recommends immediate, comprehensive, and impartial investigation of all domestic violence allegations, ensuring accountability of perpetrators, as well as intensifying specialized training programs and lectures for law enforcement officials to strengthen their ability to address domestic violence.</w:t>
            </w:r>
          </w:p>
        </w:tc>
        <w:tc>
          <w:tcPr>
            <w:tcW w:w="1998" w:type="dxa"/>
            <w:gridSpan w:val="2"/>
            <w:vAlign w:val="center"/>
          </w:tcPr>
          <w:p w14:paraId="0F0213B2"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03" w:type="dxa"/>
            <w:vAlign w:val="center"/>
          </w:tcPr>
          <w:p w14:paraId="5DBA56A6" w14:textId="77777777" w:rsidR="005C5773" w:rsidRPr="00421D6F" w:rsidRDefault="005C5773" w:rsidP="007D0033">
            <w:pPr>
              <w:pStyle w:val="NormalWeb"/>
            </w:pPr>
            <w:r w:rsidRPr="00421D6F">
              <w:t>The UAE makes extensive efforts to raise community awareness about the dangers of domestic violence, encourage reporting such crimes, and provide necessary support to victims. These efforts include:</w:t>
            </w:r>
          </w:p>
          <w:p w14:paraId="509B06FB" w14:textId="77777777" w:rsidR="005C5773" w:rsidRPr="00421D6F" w:rsidRDefault="005C5773" w:rsidP="005C5773">
            <w:pPr>
              <w:pStyle w:val="NormalWeb"/>
              <w:numPr>
                <w:ilvl w:val="0"/>
                <w:numId w:val="35"/>
              </w:numPr>
            </w:pPr>
            <w:r w:rsidRPr="00421D6F">
              <w:rPr>
                <w:rStyle w:val="Strong"/>
              </w:rPr>
              <w:t>Legislation</w:t>
            </w:r>
            <w:r w:rsidRPr="00421D6F">
              <w:t>: The UAE issued Federal Decree-Law No. (13) of 2024 on Protection from Domestic Violence, aiming to protect family members from all forms of violence and provide victims with necessary legal and social support. The law includes clear definitions of domestic violence and sets out procedures and measures to protect victims, including protection orders and penalties for perpetrators.</w:t>
            </w:r>
          </w:p>
          <w:p w14:paraId="66679B81" w14:textId="77777777" w:rsidR="005C5773" w:rsidRPr="00421D6F" w:rsidRDefault="005C5773" w:rsidP="005C5773">
            <w:pPr>
              <w:pStyle w:val="NormalWeb"/>
              <w:numPr>
                <w:ilvl w:val="0"/>
                <w:numId w:val="35"/>
              </w:numPr>
            </w:pPr>
            <w:r w:rsidRPr="00421D6F">
              <w:rPr>
                <w:rStyle w:val="Strong"/>
              </w:rPr>
              <w:t>Awareness and education</w:t>
            </w:r>
            <w:r w:rsidRPr="00421D6F">
              <w:t>: Several entities, including the Ministry of Community Development, launched awareness workshops under the campaign “My Protection is My Priority” to educate families on ways to prevent domestic violence and promote a culture of respect within the family.</w:t>
            </w:r>
          </w:p>
          <w:p w14:paraId="2FC59947" w14:textId="77777777" w:rsidR="005C5773" w:rsidRPr="00421D6F" w:rsidRDefault="005C5773" w:rsidP="005C5773">
            <w:pPr>
              <w:pStyle w:val="NormalWeb"/>
              <w:numPr>
                <w:ilvl w:val="0"/>
                <w:numId w:val="35"/>
              </w:numPr>
            </w:pPr>
            <w:r w:rsidRPr="00421D6F">
              <w:rPr>
                <w:rStyle w:val="Strong"/>
              </w:rPr>
              <w:t>Reporting channels and support</w:t>
            </w:r>
            <w:r w:rsidRPr="00421D6F">
              <w:t>: The UAE provides multiple channels for reporting domestic violence cases, including hotlines and specialized centers. For example, the Dubai Foundation for Women and Children operates a 24/7 hotline to receive reports and provide necessary support.</w:t>
            </w:r>
          </w:p>
          <w:p w14:paraId="4A960478" w14:textId="77777777" w:rsidR="005C5773" w:rsidRPr="00421D6F" w:rsidRDefault="005C5773" w:rsidP="005C5773">
            <w:pPr>
              <w:pStyle w:val="NormalWeb"/>
              <w:numPr>
                <w:ilvl w:val="0"/>
                <w:numId w:val="35"/>
              </w:numPr>
            </w:pPr>
            <w:r w:rsidRPr="00421D6F">
              <w:rPr>
                <w:rStyle w:val="Strong"/>
              </w:rPr>
              <w:t>Shelters</w:t>
            </w:r>
            <w:r w:rsidRPr="00421D6F">
              <w:t>: The UAE has shelters dedicated to domestic violence victims, such as the Abu Dhabi Shelter and Humanitarian Care Center, providing safe accommodation, healthcare, and psychological support for victims.</w:t>
            </w:r>
          </w:p>
          <w:p w14:paraId="78365AF6" w14:textId="77777777" w:rsidR="005C5773" w:rsidRPr="00421D6F" w:rsidRDefault="005C5773" w:rsidP="005C5773">
            <w:pPr>
              <w:pStyle w:val="NormalWeb"/>
              <w:numPr>
                <w:ilvl w:val="0"/>
                <w:numId w:val="35"/>
              </w:numPr>
            </w:pPr>
            <w:r w:rsidRPr="00421D6F">
              <w:rPr>
                <w:rStyle w:val="Strong"/>
              </w:rPr>
              <w:t>Investigation and accountability</w:t>
            </w:r>
            <w:r w:rsidRPr="00421D6F">
              <w:t xml:space="preserve">: Authorities commit to prompt and comprehensive investigation of all domestic violence allegations and ensure perpetrators are held accountable under applicable laws. Perpetrators are punished with imprisonment and fines, as stipulated in Article (9) of Federal Decree-Law No. </w:t>
            </w:r>
            <w:r w:rsidRPr="00421D6F">
              <w:lastRenderedPageBreak/>
              <w:t>10 of 2019 on Protection from Domestic Violence.</w:t>
            </w:r>
          </w:p>
          <w:p w14:paraId="584C9ABC" w14:textId="77777777" w:rsidR="005C5773" w:rsidRPr="00421D6F" w:rsidRDefault="005C5773" w:rsidP="005C5773">
            <w:pPr>
              <w:pStyle w:val="NormalWeb"/>
              <w:numPr>
                <w:ilvl w:val="0"/>
                <w:numId w:val="35"/>
              </w:numPr>
              <w:rPr>
                <w:b/>
                <w:bCs/>
              </w:rPr>
            </w:pPr>
            <w:r w:rsidRPr="00421D6F">
              <w:rPr>
                <w:rStyle w:val="Strong"/>
              </w:rPr>
              <w:t>Training officials</w:t>
            </w:r>
            <w:r w:rsidRPr="00421D6F">
              <w:t>: Specialized training programs are implemented for law enforcement officials to strengthen their ability to address domestic violence and ensure professional and sensitive handling of victims.</w:t>
            </w:r>
            <w:r w:rsidRPr="00421D6F">
              <w:br/>
            </w:r>
            <w:r w:rsidRPr="00421D6F">
              <w:rPr>
                <w:b/>
                <w:bCs/>
              </w:rPr>
              <w:t>We, as a public benefit association (Union Association for Human Rights), have organized numerous events focused on raising awareness on combating domestic violence and its consequences, and we have received and promptly resolved several domestic violence complaints in coordination with the relevant authorities in the UAE.</w:t>
            </w:r>
          </w:p>
          <w:p w14:paraId="0DD8F272" w14:textId="77777777" w:rsidR="005C5773" w:rsidRPr="00421D6F" w:rsidRDefault="005C5773" w:rsidP="007D0033">
            <w:pPr>
              <w:bidi w:val="0"/>
              <w:jc w:val="left"/>
              <w:rPr>
                <w:rFonts w:ascii="Times New Roman" w:eastAsia="Times New Roman" w:hAnsi="Times New Roman" w:cs="Times New Roman"/>
                <w:b/>
                <w:bCs/>
                <w:sz w:val="24"/>
                <w:szCs w:val="24"/>
                <w:rtl/>
                <w:lang w:bidi="ar-BH"/>
              </w:rPr>
            </w:pPr>
          </w:p>
        </w:tc>
      </w:tr>
      <w:tr w:rsidR="005C5773" w:rsidRPr="00421D6F" w14:paraId="34B3DDE0" w14:textId="77777777" w:rsidTr="00C93156">
        <w:trPr>
          <w:gridAfter w:val="2"/>
          <w:wAfter w:w="13" w:type="dxa"/>
        </w:trPr>
        <w:tc>
          <w:tcPr>
            <w:tcW w:w="2932" w:type="dxa"/>
            <w:vAlign w:val="center"/>
          </w:tcPr>
          <w:p w14:paraId="7896C7A9"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Style w:val="Strong"/>
                <w:rFonts w:ascii="Times New Roman" w:hAnsi="Times New Roman" w:cs="Times New Roman"/>
                <w:b w:val="0"/>
                <w:bCs w:val="0"/>
                <w:sz w:val="24"/>
                <w:szCs w:val="24"/>
              </w:rPr>
              <w:lastRenderedPageBreak/>
              <w:t>73</w:t>
            </w:r>
            <w:r w:rsidRPr="00421D6F">
              <w:rPr>
                <w:rFonts w:ascii="Times New Roman" w:hAnsi="Times New Roman" w:cs="Times New Roman"/>
                <w:sz w:val="24"/>
                <w:szCs w:val="24"/>
              </w:rPr>
              <w:br/>
              <w:t>Enhance its efforts to promote societal awareness and education about the provisions of the Child Rights Law “Wadeema.”</w:t>
            </w:r>
          </w:p>
        </w:tc>
        <w:tc>
          <w:tcPr>
            <w:tcW w:w="1998" w:type="dxa"/>
            <w:gridSpan w:val="2"/>
            <w:vAlign w:val="center"/>
          </w:tcPr>
          <w:p w14:paraId="4B769CE0"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Already implemented</w:t>
            </w:r>
          </w:p>
        </w:tc>
        <w:tc>
          <w:tcPr>
            <w:tcW w:w="5103" w:type="dxa"/>
            <w:vAlign w:val="center"/>
          </w:tcPr>
          <w:p w14:paraId="206D083B" w14:textId="77777777" w:rsidR="005C5773" w:rsidRPr="00421D6F" w:rsidRDefault="005C5773" w:rsidP="007D0033">
            <w:pPr>
              <w:pStyle w:val="NormalWeb"/>
            </w:pPr>
            <w:r w:rsidRPr="00421D6F">
              <w:t>The UAE exerts significant efforts to raise community awareness of the Child Rights Law “Wadeema” and promote a culture of protecting children’s rights. These efforts include:</w:t>
            </w:r>
          </w:p>
          <w:p w14:paraId="11E18485" w14:textId="77777777" w:rsidR="005C5773" w:rsidRPr="00421D6F" w:rsidRDefault="005C5773" w:rsidP="007D0033">
            <w:pPr>
              <w:pStyle w:val="NormalWeb"/>
              <w:numPr>
                <w:ilvl w:val="0"/>
                <w:numId w:val="7"/>
              </w:numPr>
            </w:pPr>
            <w:r w:rsidRPr="00421D6F">
              <w:rPr>
                <w:rStyle w:val="Strong"/>
              </w:rPr>
              <w:t>Awareness campaigns</w:t>
            </w:r>
            <w:r w:rsidRPr="00421D6F">
              <w:t>: For example, the Ministry of Education launched awareness campaigns in public and private schools to introduce students, parents, and educational staff to the provisions of the “Wadeema” Law and basic child rights. The focus was on seven main aspects concerning children’s rights in family life, health, social, cultural, and educational fields, as well as the right to protection and basic rights.</w:t>
            </w:r>
          </w:p>
          <w:p w14:paraId="13A5A7EE" w14:textId="77777777" w:rsidR="005C5773" w:rsidRPr="00421D6F" w:rsidRDefault="005C5773" w:rsidP="007D0033">
            <w:pPr>
              <w:pStyle w:val="NormalWeb"/>
              <w:numPr>
                <w:ilvl w:val="0"/>
                <w:numId w:val="7"/>
              </w:numPr>
            </w:pPr>
            <w:r w:rsidRPr="00421D6F">
              <w:rPr>
                <w:rStyle w:val="Strong"/>
              </w:rPr>
              <w:t>Workshops and seminars</w:t>
            </w:r>
            <w:r w:rsidRPr="00421D6F">
              <w:t>: For example, the Community Development Authority in Dubai organized awareness workshops to explain the provisions of the “Wadeema” Law and its practical application, with the participation of social workers, administrative supervisors, and academics from schools, aiming to raise the legal awareness of those dealing with children.</w:t>
            </w:r>
          </w:p>
          <w:p w14:paraId="5527FF1F" w14:textId="77777777" w:rsidR="005C5773" w:rsidRPr="00421D6F" w:rsidRDefault="005C5773" w:rsidP="007D0033">
            <w:pPr>
              <w:pStyle w:val="NormalWeb"/>
              <w:numPr>
                <w:ilvl w:val="0"/>
                <w:numId w:val="7"/>
              </w:numPr>
            </w:pPr>
            <w:r w:rsidRPr="00421D6F">
              <w:rPr>
                <w:rStyle w:val="Strong"/>
              </w:rPr>
              <w:t>Media programs</w:t>
            </w:r>
            <w:r w:rsidRPr="00421D6F">
              <w:t xml:space="preserve">: Relevant authorities produce various media materials, including videos and awareness publications, to explain the child rights stipulated in the </w:t>
            </w:r>
            <w:r w:rsidRPr="00421D6F">
              <w:lastRenderedPageBreak/>
              <w:t>“Wadeema” Law and disseminate them through traditional and digital media.</w:t>
            </w:r>
          </w:p>
          <w:p w14:paraId="7A7321CC" w14:textId="77777777" w:rsidR="005C5773" w:rsidRPr="00421D6F" w:rsidRDefault="005C5773" w:rsidP="007D0033">
            <w:pPr>
              <w:pStyle w:val="NormalWeb"/>
              <w:numPr>
                <w:ilvl w:val="0"/>
                <w:numId w:val="7"/>
              </w:numPr>
            </w:pPr>
            <w:r w:rsidRPr="00421D6F">
              <w:rPr>
                <w:rStyle w:val="Strong"/>
              </w:rPr>
              <w:t>Cooperation with educational institutions</w:t>
            </w:r>
            <w:r w:rsidRPr="00421D6F">
              <w:t>: Government entities cooperate with schools and universities to include educational materials on children’s rights and the “Wadeema” Law in curricula to educate students about their rights and responsibilities.</w:t>
            </w:r>
          </w:p>
          <w:p w14:paraId="2DE491A3" w14:textId="77777777" w:rsidR="005C5773" w:rsidRPr="00421D6F" w:rsidRDefault="005C5773" w:rsidP="007D0033">
            <w:pPr>
              <w:pStyle w:val="NormalWeb"/>
              <w:numPr>
                <w:ilvl w:val="0"/>
                <w:numId w:val="7"/>
              </w:numPr>
              <w:rPr>
                <w:rtl/>
                <w:lang w:bidi="ar-BH"/>
              </w:rPr>
            </w:pPr>
            <w:r w:rsidRPr="00421D6F">
              <w:rPr>
                <w:rStyle w:val="Strong"/>
              </w:rPr>
              <w:t>Engaging civil society</w:t>
            </w:r>
            <w:r w:rsidRPr="00421D6F">
              <w:t>: The UAE works with public benefit associations to organize awareness events and initiatives targeting different community groups to enhance understanding of children’s rights and the importance of protecting them.</w:t>
            </w:r>
          </w:p>
        </w:tc>
      </w:tr>
      <w:tr w:rsidR="005C5773" w:rsidRPr="00421D6F" w14:paraId="76BF1B7E" w14:textId="77777777" w:rsidTr="00C93156">
        <w:trPr>
          <w:gridAfter w:val="2"/>
          <w:wAfter w:w="13" w:type="dxa"/>
        </w:trPr>
        <w:tc>
          <w:tcPr>
            <w:tcW w:w="2932" w:type="dxa"/>
            <w:vAlign w:val="center"/>
          </w:tcPr>
          <w:p w14:paraId="7353B509"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76</w:t>
            </w:r>
          </w:p>
          <w:p w14:paraId="6D55123A"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Strengthening efforts to evaluate the implementation of the National Strategy for the Empowerment and Entrepreneurship of Women, the National Strategy for Motherhood and Childhood, and the National Family Policy</w:t>
            </w:r>
          </w:p>
        </w:tc>
        <w:tc>
          <w:tcPr>
            <w:tcW w:w="1998" w:type="dxa"/>
            <w:gridSpan w:val="2"/>
            <w:vAlign w:val="center"/>
          </w:tcPr>
          <w:p w14:paraId="73A933E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Implemented</w:t>
            </w:r>
          </w:p>
        </w:tc>
        <w:tc>
          <w:tcPr>
            <w:tcW w:w="5103" w:type="dxa"/>
            <w:vAlign w:val="center"/>
          </w:tcPr>
          <w:p w14:paraId="3D3A0ADA" w14:textId="77777777" w:rsidR="005C5773" w:rsidRPr="00421D6F" w:rsidRDefault="005C5773" w:rsidP="007D0033">
            <w:pPr>
              <w:bidi w:val="0"/>
              <w:jc w:val="left"/>
              <w:rPr>
                <w:rFonts w:ascii="Times New Roman" w:eastAsia="Times New Roman" w:hAnsi="Times New Roman" w:cs="Times New Roman"/>
                <w:sz w:val="24"/>
                <w:szCs w:val="24"/>
                <w:rtl/>
                <w:lang w:bidi="ar-EG"/>
              </w:rPr>
            </w:pPr>
            <w:r w:rsidRPr="00421D6F">
              <w:rPr>
                <w:rFonts w:ascii="Times New Roman" w:hAnsi="Times New Roman" w:cs="Times New Roman"/>
                <w:sz w:val="24"/>
                <w:szCs w:val="24"/>
              </w:rPr>
              <w:t>The UAE has evaluated the national strategies related to women’s empowerment, motherhood and childhood, and family both during and after their implementation. For example, after the completion of the National Strategy for the Empowerment and Entrepreneurship of Emirati Women (2015–2021), an evaluation and impact assessment was carried out to identify strengths and potential areas for development. Based on the results of this assessment, the National Policy for the Empowerment of Women in the UAE 2023–2031 was launched, with the aim of enhancing women’s participation in all fields and improving quality of life in society.</w:t>
            </w:r>
          </w:p>
        </w:tc>
      </w:tr>
      <w:tr w:rsidR="005C5773" w:rsidRPr="00421D6F" w14:paraId="7D669056" w14:textId="77777777" w:rsidTr="00C93156">
        <w:trPr>
          <w:gridAfter w:val="2"/>
          <w:wAfter w:w="13" w:type="dxa"/>
        </w:trPr>
        <w:tc>
          <w:tcPr>
            <w:tcW w:w="2932" w:type="dxa"/>
            <w:vAlign w:val="center"/>
          </w:tcPr>
          <w:p w14:paraId="1C8EA9DC"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78</w:t>
            </w:r>
          </w:p>
          <w:p w14:paraId="281724C8"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Issuing a law on senior citizens and opening societal dialogue to expedite its issuance</w:t>
            </w:r>
          </w:p>
        </w:tc>
        <w:tc>
          <w:tcPr>
            <w:tcW w:w="1998" w:type="dxa"/>
            <w:gridSpan w:val="2"/>
            <w:vAlign w:val="center"/>
          </w:tcPr>
          <w:p w14:paraId="1AEAC78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Implemented</w:t>
            </w:r>
          </w:p>
        </w:tc>
        <w:tc>
          <w:tcPr>
            <w:tcW w:w="5103" w:type="dxa"/>
            <w:vAlign w:val="center"/>
          </w:tcPr>
          <w:p w14:paraId="3BF63D39" w14:textId="77777777" w:rsidR="005C5773" w:rsidRPr="00421D6F" w:rsidRDefault="005C5773" w:rsidP="007D0033">
            <w:pPr>
              <w:pStyle w:val="NormalWeb"/>
              <w:numPr>
                <w:ilvl w:val="0"/>
                <w:numId w:val="7"/>
              </w:numPr>
            </w:pPr>
            <w:r w:rsidRPr="00421D6F">
              <w:t>The UAE issued Federal Law No. (9) of 2019 on the Rights of Senior Citizens (Elderly Persons). This law aims to ensure that the elderly enjoy the fundamental rights and freedoms guaranteed by the Constitution, and to provide care and psychological, social, and health stability. The law also grants them preferential treatment in various fields.</w:t>
            </w:r>
          </w:p>
          <w:p w14:paraId="709774BE" w14:textId="77777777" w:rsidR="005C5773" w:rsidRPr="00421D6F" w:rsidRDefault="005C5773" w:rsidP="007D0033">
            <w:pPr>
              <w:pStyle w:val="NormalWeb"/>
              <w:numPr>
                <w:ilvl w:val="0"/>
                <w:numId w:val="7"/>
              </w:numPr>
              <w:rPr>
                <w:rtl/>
                <w:lang w:bidi="ar-BH"/>
              </w:rPr>
            </w:pPr>
            <w:r w:rsidRPr="00421D6F">
              <w:t>In addition, Cabinet Resolution No. (9) of 2021 was issued regarding the executive regulations of Federal Law No. (9) of 2019, which sets out the necessary controls and procedures for implementing the provisions of the law.</w:t>
            </w:r>
          </w:p>
        </w:tc>
      </w:tr>
      <w:tr w:rsidR="005C5773" w:rsidRPr="00421D6F" w14:paraId="781C1736" w14:textId="77777777" w:rsidTr="00C93156">
        <w:trPr>
          <w:gridAfter w:val="2"/>
          <w:wAfter w:w="13" w:type="dxa"/>
        </w:trPr>
        <w:tc>
          <w:tcPr>
            <w:tcW w:w="2932" w:type="dxa"/>
            <w:vAlign w:val="center"/>
          </w:tcPr>
          <w:p w14:paraId="62BC220F"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85</w:t>
            </w:r>
          </w:p>
          <w:p w14:paraId="66738C2A"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Including a provision recognizing freedom of trade union activity and the right to strike in national legislation</w:t>
            </w:r>
          </w:p>
        </w:tc>
        <w:tc>
          <w:tcPr>
            <w:tcW w:w="1998" w:type="dxa"/>
            <w:gridSpan w:val="2"/>
            <w:vAlign w:val="center"/>
          </w:tcPr>
          <w:p w14:paraId="79D5049E"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Recommendation not supported</w:t>
            </w:r>
          </w:p>
        </w:tc>
        <w:tc>
          <w:tcPr>
            <w:tcW w:w="5103" w:type="dxa"/>
            <w:vAlign w:val="center"/>
          </w:tcPr>
          <w:p w14:paraId="7C1F07AC" w14:textId="77777777" w:rsidR="005C5773" w:rsidRPr="00421D6F" w:rsidRDefault="005C5773" w:rsidP="007D0033">
            <w:pPr>
              <w:pStyle w:val="NormalWeb"/>
              <w:numPr>
                <w:ilvl w:val="0"/>
                <w:numId w:val="7"/>
              </w:numPr>
            </w:pPr>
            <w:r w:rsidRPr="00421D6F">
              <w:t xml:space="preserve">National laws and legislation guarantee the freedom to form associations and to </w:t>
            </w:r>
            <w:r w:rsidRPr="00421D6F">
              <w:lastRenderedPageBreak/>
              <w:t>assemble. These practices are regulated under national laws to safeguard rights and freedoms, and to prevent harm to the interests of the UAE or employers, or any threat to the security and safety of the nation, society, or the public.</w:t>
            </w:r>
          </w:p>
          <w:p w14:paraId="4D764F70" w14:textId="77777777" w:rsidR="005C5773" w:rsidRPr="00421D6F" w:rsidRDefault="005C5773" w:rsidP="007D0033">
            <w:pPr>
              <w:pStyle w:val="NormalWeb"/>
              <w:numPr>
                <w:ilvl w:val="0"/>
                <w:numId w:val="7"/>
              </w:numPr>
            </w:pPr>
            <w:r w:rsidRPr="00421D6F">
              <w:rPr>
                <w:b/>
                <w:bCs/>
              </w:rPr>
              <w:t>The UAE has an alternative system</w:t>
            </w:r>
            <w:r w:rsidRPr="00421D6F">
              <w:t>: labor councils and committees within companies that aim to resolve disputes between workers and employers.</w:t>
            </w:r>
          </w:p>
          <w:p w14:paraId="4ED26290" w14:textId="77777777" w:rsidR="005C5773" w:rsidRPr="00421D6F" w:rsidRDefault="005C5773" w:rsidP="007D0033">
            <w:pPr>
              <w:pStyle w:val="NormalWeb"/>
              <w:numPr>
                <w:ilvl w:val="0"/>
                <w:numId w:val="7"/>
              </w:numPr>
              <w:rPr>
                <w:rtl/>
              </w:rPr>
            </w:pPr>
            <w:r w:rsidRPr="00421D6F">
              <w:rPr>
                <w:b/>
                <w:bCs/>
              </w:rPr>
              <w:t>Furthermore, the Arab Charter on Human Rights in Article (35) does not address the right to strike, although it provides for the option to form associations or trade unions. The UAE permits the formation of associations.</w:t>
            </w:r>
          </w:p>
        </w:tc>
      </w:tr>
      <w:tr w:rsidR="005C5773" w:rsidRPr="00421D6F" w14:paraId="7264FD81" w14:textId="77777777" w:rsidTr="00C93156">
        <w:trPr>
          <w:gridAfter w:val="2"/>
          <w:wAfter w:w="13" w:type="dxa"/>
        </w:trPr>
        <w:tc>
          <w:tcPr>
            <w:tcW w:w="2932" w:type="dxa"/>
            <w:vAlign w:val="center"/>
          </w:tcPr>
          <w:p w14:paraId="68B357D8"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87</w:t>
            </w:r>
          </w:p>
          <w:p w14:paraId="433DE298"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Activating inspection and oversight tools for recruitment agencies of domestic service workers, as well as workplaces and accommodations for workers</w:t>
            </w:r>
          </w:p>
        </w:tc>
        <w:tc>
          <w:tcPr>
            <w:tcW w:w="1998" w:type="dxa"/>
            <w:gridSpan w:val="2"/>
            <w:vAlign w:val="center"/>
          </w:tcPr>
          <w:p w14:paraId="382AB4F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Implemented</w:t>
            </w:r>
          </w:p>
        </w:tc>
        <w:tc>
          <w:tcPr>
            <w:tcW w:w="5103" w:type="dxa"/>
            <w:vAlign w:val="center"/>
          </w:tcPr>
          <w:p w14:paraId="596E2A98" w14:textId="77777777" w:rsidR="005C5773" w:rsidRPr="00421D6F" w:rsidRDefault="005C5773" w:rsidP="007D0033">
            <w:pPr>
              <w:bidi w:val="0"/>
              <w:jc w:val="left"/>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In accordance with Cabinet Resolution No. (1) of 2022 regarding the executive regulations of Federal Decree-Law No. (33) of 2021, the regulations detail the procedures and controls related to inspection and oversight. The UAE conducts inspections of domestic service recruitment offices, workplaces, and workers’ accommodations to ensure compliance with laws and protect the rights of all concerned parties.</w:t>
            </w:r>
            <w:r w:rsidRPr="00421D6F">
              <w:rPr>
                <w:rFonts w:ascii="Times New Roman" w:hAnsi="Times New Roman" w:cs="Times New Roman"/>
                <w:sz w:val="24"/>
                <w:szCs w:val="24"/>
              </w:rPr>
              <w:br/>
              <w:t>The Ministry of Human Resources and Emiratisation is responsible for carrying out these tasks through labor inspectors with broad powers. The Ministry intensifies oversight of domestic worker recruitment offices to ensure their compliance with laws and regulations, including adherence to set package prices and the provision of suitable working conditions for domestic workers. Field visits are conducted to monitor establishments’ compliance with the terms and conditions of the Labour Relations Regulation Law, as well as to follow up on suspected cases of human trafficking, forced labor, and sexual harassment.</w:t>
            </w:r>
          </w:p>
        </w:tc>
      </w:tr>
      <w:tr w:rsidR="005C5773" w:rsidRPr="00421D6F" w14:paraId="5376D7CB" w14:textId="77777777" w:rsidTr="00C93156">
        <w:trPr>
          <w:gridAfter w:val="2"/>
          <w:wAfter w:w="13" w:type="dxa"/>
        </w:trPr>
        <w:tc>
          <w:tcPr>
            <w:tcW w:w="2932" w:type="dxa"/>
            <w:vAlign w:val="center"/>
          </w:tcPr>
          <w:p w14:paraId="275E3A79"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t>88</w:t>
            </w:r>
          </w:p>
          <w:p w14:paraId="64F5EA21"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 xml:space="preserve">Organizing awareness campaigns targeting domestic workers and their employers to ensure awareness of their rights, legal remedies, and available shelters; and to </w:t>
            </w:r>
            <w:r w:rsidRPr="00421D6F">
              <w:rPr>
                <w:rFonts w:ascii="Times New Roman" w:hAnsi="Times New Roman" w:cs="Times New Roman"/>
                <w:sz w:val="24"/>
                <w:szCs w:val="24"/>
              </w:rPr>
              <w:lastRenderedPageBreak/>
              <w:t>strictly enforce the ban on confiscating personal identification documents such as passports and ID cards</w:t>
            </w:r>
          </w:p>
        </w:tc>
        <w:tc>
          <w:tcPr>
            <w:tcW w:w="1998" w:type="dxa"/>
            <w:gridSpan w:val="2"/>
            <w:vAlign w:val="center"/>
          </w:tcPr>
          <w:p w14:paraId="4923DA57"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lastRenderedPageBreak/>
              <w:t>Previously implemented</w:t>
            </w:r>
          </w:p>
        </w:tc>
        <w:tc>
          <w:tcPr>
            <w:tcW w:w="5103" w:type="dxa"/>
            <w:vAlign w:val="center"/>
          </w:tcPr>
          <w:p w14:paraId="7F7C1A16" w14:textId="77777777" w:rsidR="005C5773" w:rsidRPr="00421D6F" w:rsidRDefault="005C5773" w:rsidP="007D0033">
            <w:pPr>
              <w:pStyle w:val="NormalWeb"/>
              <w:numPr>
                <w:ilvl w:val="0"/>
                <w:numId w:val="7"/>
              </w:numPr>
            </w:pPr>
            <w:r w:rsidRPr="00421D6F">
              <w:t>The UAE attaches great importance to promoting social awareness among domestic service workers and their employers. It issued Federal Law No. 9 of 2022 on Domestic Workers, which stresses the importance of awareness-raising and guarantees all legally prescribed rights for this category of workers.</w:t>
            </w:r>
          </w:p>
          <w:p w14:paraId="5701C011" w14:textId="77777777" w:rsidR="005C5773" w:rsidRPr="00421D6F" w:rsidRDefault="005C5773" w:rsidP="007D0033">
            <w:pPr>
              <w:pStyle w:val="NormalWeb"/>
              <w:numPr>
                <w:ilvl w:val="0"/>
                <w:numId w:val="7"/>
              </w:numPr>
            </w:pPr>
            <w:r w:rsidRPr="00421D6F">
              <w:lastRenderedPageBreak/>
              <w:t>The UAE takes steps to raise awareness among domestic workers and employers about their rights, available legal remedies, and shelters to protect them from abusive working conditions. The Ministry of Human Resources and Emiratisation has launched awareness initiatives to inform domestic workers of their rights and responsibilities, as well as to educate employers on their legal obligations. The Ministry has also issued a guide outlining the rights and responsibilities of domestic workers in the UAE, contributing to enhanced awareness and the provision of a safe and fair working environment in line with Law No. 9 of 2022.</w:t>
            </w:r>
          </w:p>
          <w:p w14:paraId="79323299" w14:textId="77777777" w:rsidR="005C5773" w:rsidRPr="00421D6F" w:rsidRDefault="005C5773" w:rsidP="007D0033">
            <w:pPr>
              <w:pStyle w:val="NormalWeb"/>
              <w:numPr>
                <w:ilvl w:val="0"/>
                <w:numId w:val="7"/>
              </w:numPr>
            </w:pPr>
            <w:r w:rsidRPr="00421D6F">
              <w:t>Regarding the confiscation of personal documents such as passports, Article 13 of Federal Decree-Law No. 33 of 2021 on Labour Relations prohibits employers from withholding passports or any other documents.</w:t>
            </w:r>
          </w:p>
          <w:p w14:paraId="15CC2367" w14:textId="77777777" w:rsidR="005C5773" w:rsidRPr="00421D6F" w:rsidRDefault="005C5773" w:rsidP="007D0033">
            <w:pPr>
              <w:pStyle w:val="NormalWeb"/>
              <w:numPr>
                <w:ilvl w:val="0"/>
                <w:numId w:val="7"/>
              </w:numPr>
              <w:rPr>
                <w:rtl/>
                <w:lang w:bidi="ar-BH"/>
              </w:rPr>
            </w:pPr>
            <w:r w:rsidRPr="00421D6F">
              <w:t>In addition, the UAE provides shelters for domestic workers who have suffered abuse, where they can receive support and legal assistance. Authorities enforce the laws protecting domestic workers’ rights and impose penalties on employers who violate these laws.</w:t>
            </w:r>
          </w:p>
        </w:tc>
      </w:tr>
      <w:tr w:rsidR="005C5773" w:rsidRPr="00421D6F" w14:paraId="32914C97" w14:textId="77777777" w:rsidTr="00C93156">
        <w:trPr>
          <w:gridAfter w:val="2"/>
          <w:wAfter w:w="13" w:type="dxa"/>
        </w:trPr>
        <w:tc>
          <w:tcPr>
            <w:tcW w:w="2932" w:type="dxa"/>
            <w:vAlign w:val="center"/>
          </w:tcPr>
          <w:p w14:paraId="11417B7D"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90</w:t>
            </w:r>
          </w:p>
          <w:p w14:paraId="182B1DB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Strengthening efforts to monitor and inspect child labour to prevent their economic exploitation or employment in any work that exposes them to danger due to its nature or conditions</w:t>
            </w:r>
          </w:p>
        </w:tc>
        <w:tc>
          <w:tcPr>
            <w:tcW w:w="1998" w:type="dxa"/>
            <w:gridSpan w:val="2"/>
            <w:vAlign w:val="center"/>
          </w:tcPr>
          <w:p w14:paraId="49209F65"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3" w:type="dxa"/>
            <w:vAlign w:val="center"/>
          </w:tcPr>
          <w:p w14:paraId="038FC754" w14:textId="77777777" w:rsidR="005C5773" w:rsidRPr="00421D6F" w:rsidRDefault="005C5773" w:rsidP="007D0033">
            <w:pPr>
              <w:pStyle w:val="NormalWeb"/>
            </w:pPr>
            <w:r w:rsidRPr="00421D6F">
              <w:t>The UAE attaches great importance to protecting children’s rights and preventing their economic exploitation or employment in hazardous work. In this regard, the UAE has taken several measures to strengthen oversight and inspection of child labor, most notably:</w:t>
            </w:r>
          </w:p>
          <w:p w14:paraId="3DDE88A1" w14:textId="77777777" w:rsidR="005C5773" w:rsidRPr="00421D6F" w:rsidRDefault="005C5773" w:rsidP="007D0033">
            <w:pPr>
              <w:pStyle w:val="NormalWeb"/>
              <w:numPr>
                <w:ilvl w:val="0"/>
                <w:numId w:val="11"/>
              </w:numPr>
            </w:pPr>
            <w:r w:rsidRPr="00421D6F">
              <w:rPr>
                <w:rStyle w:val="Strong"/>
              </w:rPr>
              <w:t>Legislation and laws</w:t>
            </w:r>
            <w:r w:rsidRPr="00421D6F">
              <w:t xml:space="preserve">: The UAE has issued laws prohibiting the employment of children in hazardous work or their economic exploitation. These laws set the minimum working age and establish strict regulations to protect minors’ rights. Among them are </w:t>
            </w:r>
            <w:r w:rsidRPr="00421D6F">
              <w:rPr>
                <w:rStyle w:val="Emphasis"/>
                <w:i w:val="0"/>
                <w:iCs w:val="0"/>
              </w:rPr>
              <w:t>Federal Law No. 3 of 2016 on Child Rights</w:t>
            </w:r>
            <w:r w:rsidRPr="00421D6F">
              <w:t xml:space="preserve"> (Articles 13 and 68) and the </w:t>
            </w:r>
            <w:r w:rsidRPr="00421D6F">
              <w:rPr>
                <w:rStyle w:val="Emphasis"/>
                <w:i w:val="0"/>
                <w:iCs w:val="0"/>
              </w:rPr>
              <w:t>Labor Regulation Law</w:t>
            </w:r>
            <w:r w:rsidRPr="00421D6F">
              <w:t xml:space="preserve"> (Article 60).</w:t>
            </w:r>
          </w:p>
          <w:p w14:paraId="1D2C5B49" w14:textId="77777777" w:rsidR="005C5773" w:rsidRPr="00421D6F" w:rsidRDefault="005C5773" w:rsidP="007D0033">
            <w:pPr>
              <w:pStyle w:val="NormalWeb"/>
              <w:numPr>
                <w:ilvl w:val="0"/>
                <w:numId w:val="11"/>
              </w:numPr>
            </w:pPr>
            <w:r w:rsidRPr="00421D6F">
              <w:rPr>
                <w:rStyle w:val="Strong"/>
              </w:rPr>
              <w:lastRenderedPageBreak/>
              <w:t>Inspection and oversight</w:t>
            </w:r>
            <w:r w:rsidRPr="00421D6F">
              <w:t>: The Ministry of Human Resources and Emiratisation relies on the “smart inspection system,” the first of its kind in the region, to enhance its role in protecting society. This system analyzes data and classifies companies according to risk level, helping inspectors prioritize daily follow-ups. The ministry also appoints inspectors to carry out periodic or unannounced workplace visits to ensure compliance with child labor laws. Additionally, child protection institutions monitor the conditions of working children and provide necessary support to ensure they are not subjected to exploitation or abuse.</w:t>
            </w:r>
          </w:p>
          <w:p w14:paraId="49B6CE58" w14:textId="77777777" w:rsidR="005C5773" w:rsidRPr="00421D6F" w:rsidRDefault="005C5773" w:rsidP="007D0033">
            <w:pPr>
              <w:pStyle w:val="NormalWeb"/>
              <w:numPr>
                <w:ilvl w:val="0"/>
                <w:numId w:val="11"/>
              </w:numPr>
            </w:pPr>
            <w:r w:rsidRPr="00421D6F">
              <w:rPr>
                <w:rStyle w:val="Strong"/>
              </w:rPr>
              <w:t>International cooperation</w:t>
            </w:r>
            <w:r w:rsidRPr="00421D6F">
              <w:t>: Under a cooperation agreement with the International Labour Organization, the ministry has organized training programs for labor inspectors, aiming to align with international inspection standards and enhance inspectors’ capacity to detect violations related to child labor.</w:t>
            </w:r>
          </w:p>
          <w:p w14:paraId="0516E31C" w14:textId="77777777" w:rsidR="005C5773" w:rsidRPr="00421D6F" w:rsidRDefault="005C5773" w:rsidP="007D0033">
            <w:pPr>
              <w:pStyle w:val="NormalWeb"/>
              <w:numPr>
                <w:ilvl w:val="0"/>
                <w:numId w:val="11"/>
              </w:numPr>
            </w:pPr>
            <w:r w:rsidRPr="00421D6F">
              <w:rPr>
                <w:rStyle w:val="Strong"/>
              </w:rPr>
              <w:t>Awareness and education</w:t>
            </w:r>
            <w:r w:rsidRPr="00421D6F">
              <w:t>: The ministry implements awareness programs targeting employers and workers to inform them about children’s rights and the risks associated with employing them in inappropriate work.</w:t>
            </w:r>
          </w:p>
          <w:p w14:paraId="5A13542E" w14:textId="77777777" w:rsidR="005C5773" w:rsidRPr="00421D6F" w:rsidRDefault="005C5773" w:rsidP="007D0033">
            <w:pPr>
              <w:pStyle w:val="NormalWeb"/>
              <w:numPr>
                <w:ilvl w:val="0"/>
                <w:numId w:val="11"/>
              </w:numPr>
              <w:rPr>
                <w:rtl/>
              </w:rPr>
            </w:pPr>
            <w:r w:rsidRPr="00421D6F">
              <w:rPr>
                <w:rStyle w:val="Strong"/>
              </w:rPr>
              <w:t>Coordination with relevant authorities</w:t>
            </w:r>
            <w:r w:rsidRPr="00421D6F">
              <w:t>: The ministry works in coordination with other government entities, such as the Ministry of Interior and judicial bodies, to ensure the enforcement of laws and prosecution of violators.</w:t>
            </w:r>
          </w:p>
        </w:tc>
      </w:tr>
      <w:tr w:rsidR="005C5773" w:rsidRPr="00421D6F" w14:paraId="675F138F" w14:textId="77777777" w:rsidTr="00C93156">
        <w:trPr>
          <w:gridAfter w:val="2"/>
          <w:wAfter w:w="13" w:type="dxa"/>
        </w:trPr>
        <w:tc>
          <w:tcPr>
            <w:tcW w:w="2932" w:type="dxa"/>
            <w:vAlign w:val="center"/>
          </w:tcPr>
          <w:p w14:paraId="0B341B92"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92</w:t>
            </w:r>
          </w:p>
          <w:p w14:paraId="691253ED"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Strengthening inspection tools to protect foreign workers and ensure adequate housing</w:t>
            </w:r>
          </w:p>
        </w:tc>
        <w:tc>
          <w:tcPr>
            <w:tcW w:w="1998" w:type="dxa"/>
            <w:gridSpan w:val="2"/>
            <w:vAlign w:val="center"/>
          </w:tcPr>
          <w:p w14:paraId="7F2AAB85"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3" w:type="dxa"/>
            <w:vAlign w:val="center"/>
          </w:tcPr>
          <w:p w14:paraId="23031A42" w14:textId="77777777" w:rsidR="005C5773" w:rsidRPr="00421D6F" w:rsidRDefault="005C5773" w:rsidP="007D0033">
            <w:pPr>
              <w:pStyle w:val="NormalWeb"/>
              <w:numPr>
                <w:ilvl w:val="0"/>
                <w:numId w:val="7"/>
              </w:numPr>
            </w:pPr>
            <w:r w:rsidRPr="00421D6F">
              <w:t xml:space="preserve">The UAE has strengthened its inspection mechanisms to guarantee foreign workers’ right to adequate housing that ensures necessary privacy. The National Human Rights Authority, under its law, conducts field visits to workers’ accommodations to monitor the UAE of workers’ rights. The Ministry of Human Resources and Emiratisation also conducts regular field visits to labour accommodations across the country to ensure companies provide </w:t>
            </w:r>
            <w:r w:rsidRPr="00421D6F">
              <w:lastRenderedPageBreak/>
              <w:t>adequate and comfortable housing in line with applicable legislation.</w:t>
            </w:r>
          </w:p>
          <w:p w14:paraId="49132314" w14:textId="77777777" w:rsidR="005C5773" w:rsidRPr="00421D6F" w:rsidRDefault="005C5773" w:rsidP="007D0033">
            <w:pPr>
              <w:pStyle w:val="NormalWeb"/>
              <w:numPr>
                <w:ilvl w:val="0"/>
                <w:numId w:val="7"/>
              </w:numPr>
            </w:pPr>
            <w:r w:rsidRPr="00421D6F">
              <w:t>In addition, the ministry launched the “Labour Accommodation System,” the first national electronic platform to register labour accommodations, aiming to raise companies’ awareness of the requirements and standards for suitable worker housing that ensures their comfort and well-being.</w:t>
            </w:r>
          </w:p>
          <w:p w14:paraId="7E358C94" w14:textId="77777777" w:rsidR="005C5773" w:rsidRPr="00421D6F" w:rsidRDefault="005C5773" w:rsidP="007D0033">
            <w:pPr>
              <w:pStyle w:val="NormalWeb"/>
              <w:numPr>
                <w:ilvl w:val="0"/>
                <w:numId w:val="7"/>
              </w:numPr>
              <w:rPr>
                <w:rtl/>
                <w:lang w:bidi="ar-BH"/>
              </w:rPr>
            </w:pPr>
            <w:r w:rsidRPr="00421D6F">
              <w:t>The ministry also conducts regular inspection campaigns, in cooperation with federal and local government bodies, to ensure that companies and owners of labour accommodations comply with the standards set by the ministry in accordance with the highest health and humanitarian benchmarks, thereby providing an appropriate living environment to improve workers’ quality of life and well-being.</w:t>
            </w:r>
          </w:p>
        </w:tc>
      </w:tr>
      <w:tr w:rsidR="005C5773" w:rsidRPr="00421D6F" w14:paraId="3B5C956C" w14:textId="77777777" w:rsidTr="00C93156">
        <w:trPr>
          <w:gridAfter w:val="2"/>
          <w:wAfter w:w="13" w:type="dxa"/>
        </w:trPr>
        <w:tc>
          <w:tcPr>
            <w:tcW w:w="2932" w:type="dxa"/>
            <w:vAlign w:val="center"/>
          </w:tcPr>
          <w:p w14:paraId="457E3049"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96</w:t>
            </w:r>
          </w:p>
          <w:p w14:paraId="150F4A79"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Linking rental increases to inflation rates and rising costs to ensure an adequate standard of living</w:t>
            </w:r>
          </w:p>
        </w:tc>
        <w:tc>
          <w:tcPr>
            <w:tcW w:w="1998" w:type="dxa"/>
            <w:gridSpan w:val="2"/>
            <w:vAlign w:val="center"/>
          </w:tcPr>
          <w:p w14:paraId="06A8B14B"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3" w:type="dxa"/>
            <w:vAlign w:val="center"/>
          </w:tcPr>
          <w:p w14:paraId="10A6399B" w14:textId="77777777" w:rsidR="005C5773" w:rsidRPr="00421D6F" w:rsidRDefault="005C5773" w:rsidP="007D0033">
            <w:pPr>
              <w:pStyle w:val="NormalWeb"/>
              <w:numPr>
                <w:ilvl w:val="0"/>
                <w:numId w:val="7"/>
              </w:numPr>
            </w:pPr>
            <w:r w:rsidRPr="00421D6F">
              <w:t>In 2022, the UAE restructured its comprehensive social support programmes targeting Emirati families and low-income earners to enhance family stability and ensure social welfare and quality of life, in addition to strengthening comprehensive government support programmes and allocations.</w:t>
            </w:r>
          </w:p>
          <w:p w14:paraId="53FC9AFE" w14:textId="77777777" w:rsidR="005C5773" w:rsidRPr="00421D6F" w:rsidRDefault="005C5773" w:rsidP="007D0033">
            <w:pPr>
              <w:pStyle w:val="NormalWeb"/>
              <w:numPr>
                <w:ilvl w:val="0"/>
                <w:numId w:val="7"/>
              </w:numPr>
            </w:pPr>
            <w:r w:rsidRPr="00421D6F">
              <w:t>Emirates also regulate rent increases. For example, Abu Dhabi applies laws protecting tenants from unjustified rent increases, taking into account economic conditions and inflation. In Dubai, the Real Estate Regulatory Agency sets permissible rent increase rates based on market indicators, considering inflation and living costs.</w:t>
            </w:r>
          </w:p>
          <w:p w14:paraId="1CD2D825" w14:textId="77777777" w:rsidR="005C5773" w:rsidRPr="00421D6F" w:rsidRDefault="005C5773" w:rsidP="007D0033">
            <w:pPr>
              <w:pStyle w:val="NormalWeb"/>
              <w:numPr>
                <w:ilvl w:val="0"/>
                <w:numId w:val="7"/>
              </w:numPr>
            </w:pPr>
            <w:r w:rsidRPr="00421D6F">
              <w:t>The UAE provides free housing for its citizens through government programmes and initiatives aimed at ensuring suitable housing.</w:t>
            </w:r>
          </w:p>
          <w:p w14:paraId="5FBABD0F" w14:textId="77777777" w:rsidR="005C5773" w:rsidRPr="00421D6F" w:rsidRDefault="005C5773" w:rsidP="007D0033">
            <w:pPr>
              <w:pStyle w:val="NormalWeb"/>
              <w:numPr>
                <w:ilvl w:val="0"/>
                <w:numId w:val="7"/>
              </w:numPr>
            </w:pPr>
            <w:r w:rsidRPr="00421D6F">
              <w:rPr>
                <w:rStyle w:val="Strong"/>
                <w:b w:val="0"/>
                <w:bCs w:val="0"/>
              </w:rPr>
              <w:t>Affordable housing:</w:t>
            </w:r>
            <w:r w:rsidRPr="00421D6F">
              <w:t xml:space="preserve"> The government works to increase housing supply to reduce prices and curb inflation, thereby providing affordable housing for citizens and residents.</w:t>
            </w:r>
          </w:p>
          <w:p w14:paraId="19F3DC71" w14:textId="77777777" w:rsidR="005C5773" w:rsidRPr="00421D6F" w:rsidRDefault="005C5773" w:rsidP="007D0033">
            <w:pPr>
              <w:pStyle w:val="NormalWeb"/>
              <w:numPr>
                <w:ilvl w:val="0"/>
                <w:numId w:val="7"/>
              </w:numPr>
              <w:rPr>
                <w:rtl/>
                <w:lang w:bidi="ar-BH"/>
              </w:rPr>
            </w:pPr>
            <w:r w:rsidRPr="00421D6F">
              <w:lastRenderedPageBreak/>
              <w:t>Charitable entities, such as the UAE Red Crescent, provide housing assistance to residents in exceptional cases.</w:t>
            </w:r>
          </w:p>
        </w:tc>
      </w:tr>
      <w:tr w:rsidR="005C5773" w:rsidRPr="00421D6F" w14:paraId="0472983D" w14:textId="77777777" w:rsidTr="00C93156">
        <w:trPr>
          <w:gridAfter w:val="2"/>
          <w:wAfter w:w="13" w:type="dxa"/>
        </w:trPr>
        <w:tc>
          <w:tcPr>
            <w:tcW w:w="2932" w:type="dxa"/>
            <w:vAlign w:val="center"/>
          </w:tcPr>
          <w:p w14:paraId="69DD16D1"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98</w:t>
            </w:r>
          </w:p>
          <w:p w14:paraId="61C12DCF"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Strengthening efforts to implement the Energy Plan 2050 and publish progress indicators</w:t>
            </w:r>
          </w:p>
        </w:tc>
        <w:tc>
          <w:tcPr>
            <w:tcW w:w="1998" w:type="dxa"/>
            <w:gridSpan w:val="2"/>
            <w:vAlign w:val="center"/>
          </w:tcPr>
          <w:p w14:paraId="4B074EE4"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Implemented</w:t>
            </w:r>
          </w:p>
        </w:tc>
        <w:tc>
          <w:tcPr>
            <w:tcW w:w="5103" w:type="dxa"/>
            <w:vAlign w:val="center"/>
          </w:tcPr>
          <w:p w14:paraId="726A61DC" w14:textId="77777777" w:rsidR="005C5773" w:rsidRPr="00421D6F" w:rsidRDefault="005C5773" w:rsidP="007D0033">
            <w:p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sz w:val="24"/>
                <w:szCs w:val="24"/>
                <w:lang w:eastAsia="en-GB"/>
              </w:rPr>
              <w:t>The UAE has enhanced its efforts to achieve the goals of the Energy Strategy 2050 across several key areas:</w:t>
            </w:r>
          </w:p>
          <w:p w14:paraId="76391760" w14:textId="77777777" w:rsidR="005C5773" w:rsidRPr="00421D6F" w:rsidRDefault="005C5773" w:rsidP="005C5773">
            <w:pPr>
              <w:numPr>
                <w:ilvl w:val="0"/>
                <w:numId w:val="36"/>
              </w:num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b/>
                <w:bCs/>
                <w:sz w:val="24"/>
                <w:szCs w:val="24"/>
                <w:lang w:eastAsia="en-GB"/>
              </w:rPr>
              <w:t>Increasing reliance on clean energy:</w:t>
            </w:r>
            <w:r w:rsidRPr="00421D6F">
              <w:rPr>
                <w:rFonts w:ascii="Times New Roman" w:eastAsia="Times New Roman" w:hAnsi="Times New Roman" w:cs="Times New Roman"/>
                <w:sz w:val="24"/>
                <w:szCs w:val="24"/>
                <w:lang w:eastAsia="en-GB"/>
              </w:rPr>
              <w:t xml:space="preserve"> The strategy aims to raise the share of clean energy in the energy mix to 50% by 2050, focusing on sources such as solar, nuclear, and green hydrogen.</w:t>
            </w:r>
          </w:p>
          <w:p w14:paraId="0742B1CB" w14:textId="77777777" w:rsidR="005C5773" w:rsidRPr="00421D6F" w:rsidRDefault="005C5773" w:rsidP="005C5773">
            <w:pPr>
              <w:numPr>
                <w:ilvl w:val="0"/>
                <w:numId w:val="36"/>
              </w:num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b/>
                <w:bCs/>
                <w:sz w:val="24"/>
                <w:szCs w:val="24"/>
                <w:lang w:eastAsia="en-GB"/>
              </w:rPr>
              <w:t>Improving energy efficiency:</w:t>
            </w:r>
            <w:r w:rsidRPr="00421D6F">
              <w:rPr>
                <w:rFonts w:ascii="Times New Roman" w:eastAsia="Times New Roman" w:hAnsi="Times New Roman" w:cs="Times New Roman"/>
                <w:sz w:val="24"/>
                <w:szCs w:val="24"/>
                <w:lang w:eastAsia="en-GB"/>
              </w:rPr>
              <w:t xml:space="preserve"> The strategy seeks to improve individual and institutional consumption efficiency by 42–45% compared to 2019 levels, contributing to reduced carbon emissions and improved environmental sustainability.</w:t>
            </w:r>
          </w:p>
          <w:p w14:paraId="24AB6C39" w14:textId="77777777" w:rsidR="005C5773" w:rsidRPr="00421D6F" w:rsidRDefault="005C5773" w:rsidP="005C5773">
            <w:pPr>
              <w:numPr>
                <w:ilvl w:val="0"/>
                <w:numId w:val="36"/>
              </w:num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b/>
                <w:bCs/>
                <w:sz w:val="24"/>
                <w:szCs w:val="24"/>
                <w:lang w:eastAsia="en-GB"/>
              </w:rPr>
              <w:t>Investment in technology and innovation:</w:t>
            </w:r>
            <w:r w:rsidRPr="00421D6F">
              <w:rPr>
                <w:rFonts w:ascii="Times New Roman" w:eastAsia="Times New Roman" w:hAnsi="Times New Roman" w:cs="Times New Roman"/>
                <w:sz w:val="24"/>
                <w:szCs w:val="24"/>
                <w:lang w:eastAsia="en-GB"/>
              </w:rPr>
              <w:t xml:space="preserve"> The UAE supports research and development in renewable energy technologies and encourages innovation and investment in this vital sector.</w:t>
            </w:r>
          </w:p>
          <w:p w14:paraId="590DE0B6" w14:textId="3E71C79C" w:rsidR="005C5773" w:rsidRPr="00421D6F" w:rsidRDefault="005C5773" w:rsidP="00191601">
            <w:pPr>
              <w:numPr>
                <w:ilvl w:val="0"/>
                <w:numId w:val="36"/>
              </w:numPr>
              <w:bidi w:val="0"/>
              <w:spacing w:before="100" w:beforeAutospacing="1" w:after="100" w:afterAutospacing="1"/>
              <w:jc w:val="left"/>
              <w:rPr>
                <w:rFonts w:ascii="Times New Roman" w:eastAsia="Times New Roman" w:hAnsi="Times New Roman" w:cs="Times New Roman"/>
                <w:sz w:val="24"/>
                <w:szCs w:val="24"/>
                <w:rtl/>
                <w:lang w:bidi="ar-BH"/>
              </w:rPr>
            </w:pPr>
            <w:r w:rsidRPr="00421D6F">
              <w:rPr>
                <w:rFonts w:ascii="Times New Roman" w:eastAsia="Times New Roman" w:hAnsi="Times New Roman" w:cs="Times New Roman"/>
                <w:b/>
                <w:bCs/>
                <w:sz w:val="24"/>
                <w:szCs w:val="24"/>
                <w:lang w:eastAsia="en-GB"/>
              </w:rPr>
              <w:t>Updating national strategies:</w:t>
            </w:r>
            <w:r w:rsidRPr="00421D6F">
              <w:rPr>
                <w:rFonts w:ascii="Times New Roman" w:eastAsia="Times New Roman" w:hAnsi="Times New Roman" w:cs="Times New Roman"/>
                <w:sz w:val="24"/>
                <w:szCs w:val="24"/>
                <w:lang w:eastAsia="en-GB"/>
              </w:rPr>
              <w:t xml:space="preserve"> In July 2023, the UAE revealed details of its updated Energy Strategy 2050 and National Hydrogen Strategy to keep pace with rapid changes in the energy sector and strengthen its position as a global producer and exporter of clean energy.</w:t>
            </w:r>
            <w:r w:rsidRPr="00421D6F">
              <w:rPr>
                <w:rFonts w:ascii="Times New Roman" w:eastAsia="Times New Roman" w:hAnsi="Times New Roman" w:cs="Times New Roman"/>
                <w:sz w:val="24"/>
                <w:szCs w:val="24"/>
                <w:lang w:eastAsia="en-GB"/>
              </w:rPr>
              <w:br/>
              <w:t>Progress in implementing the strategy is monitored through the National Geospatial Platform for Future Energy, which provides multiple services, including measuring and tracking the implementation of the Energy Strategy 2050 and cataloguing all clean energy projects in each Emirate.</w:t>
            </w:r>
            <w:r w:rsidRPr="00421D6F">
              <w:rPr>
                <w:rFonts w:ascii="Times New Roman" w:eastAsia="Times New Roman" w:hAnsi="Times New Roman" w:cs="Times New Roman"/>
                <w:sz w:val="24"/>
                <w:szCs w:val="24"/>
                <w:lang w:eastAsia="en-GB"/>
              </w:rPr>
              <w:br/>
              <w:t>In addition, the National Programme for Energy and Water Demand Management was launched in March 2021 to unify efforts in energy and water efficiency and increase the efficiency of high-consumption sectors by up to 50%.</w:t>
            </w:r>
          </w:p>
        </w:tc>
      </w:tr>
      <w:tr w:rsidR="005C5773" w:rsidRPr="00421D6F" w14:paraId="60EA3E38" w14:textId="77777777" w:rsidTr="00C93156">
        <w:trPr>
          <w:gridAfter w:val="2"/>
          <w:wAfter w:w="13" w:type="dxa"/>
        </w:trPr>
        <w:tc>
          <w:tcPr>
            <w:tcW w:w="2932" w:type="dxa"/>
            <w:vAlign w:val="center"/>
          </w:tcPr>
          <w:p w14:paraId="3B4701C6"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100</w:t>
            </w:r>
          </w:p>
          <w:p w14:paraId="2E1BE9D0"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Strengthening efforts to facilitate business procedures in the agricultural production sector, simplifying agricultural contracting procedures, supporting financing systems for agricultural and food activities, and reducing food loss and waste through an integrated system</w:t>
            </w:r>
          </w:p>
        </w:tc>
        <w:tc>
          <w:tcPr>
            <w:tcW w:w="1998" w:type="dxa"/>
            <w:gridSpan w:val="2"/>
            <w:vAlign w:val="center"/>
          </w:tcPr>
          <w:p w14:paraId="7FE5A514"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3" w:type="dxa"/>
            <w:vAlign w:val="center"/>
          </w:tcPr>
          <w:p w14:paraId="27FAEC46" w14:textId="77777777" w:rsidR="005C5773" w:rsidRPr="00421D6F" w:rsidRDefault="005C5773" w:rsidP="007D0033">
            <w:p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sz w:val="24"/>
                <w:szCs w:val="24"/>
                <w:lang w:eastAsia="en-GB"/>
              </w:rPr>
              <w:t>The UAE is making intensive efforts to strengthen and develop the agricultural production sector through initiatives and strategies aimed at facilitating business operations, simplifying agricultural contracting procedures, supporting financing systems, and reducing food loss and waste.</w:t>
            </w:r>
          </w:p>
          <w:p w14:paraId="60470495" w14:textId="74411C27" w:rsidR="005C5773" w:rsidRPr="00421D6F" w:rsidRDefault="005C5773" w:rsidP="007D0033">
            <w:p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b/>
                <w:bCs/>
                <w:sz w:val="24"/>
                <w:szCs w:val="24"/>
                <w:lang w:eastAsia="en-GB"/>
              </w:rPr>
              <w:t>Facilitating agricultural business and contracting procedures:</w:t>
            </w:r>
            <w:r w:rsidRPr="00421D6F">
              <w:rPr>
                <w:rFonts w:ascii="Times New Roman" w:eastAsia="Times New Roman" w:hAnsi="Times New Roman" w:cs="Times New Roman"/>
                <w:sz w:val="24"/>
                <w:szCs w:val="24"/>
                <w:lang w:eastAsia="en-GB"/>
              </w:rPr>
              <w:br/>
              <w:t xml:space="preserve">As part of the National Food Security Strategy 2051 and Water Security Strategy 2036, the UAE works to streamline business procedures in the agricultural sector and simplify contracting processes. This includes developing sector-specific legislation and services, promoting the use of modern agricultural technologies suitable for the country’s climate, providing agricultural advisory services, pest control, and support for agricultural inputs, as well as guiding farmers to produce for local market needs and </w:t>
            </w:r>
            <w:r w:rsidR="008F1419" w:rsidRPr="00421D6F">
              <w:rPr>
                <w:rFonts w:ascii="Times New Roman" w:eastAsia="Times New Roman" w:hAnsi="Times New Roman" w:cs="Times New Roman"/>
                <w:sz w:val="24"/>
                <w:szCs w:val="24"/>
                <w:lang w:eastAsia="en-GB"/>
              </w:rPr>
              <w:t>organizing</w:t>
            </w:r>
            <w:r w:rsidRPr="00421D6F">
              <w:rPr>
                <w:rFonts w:ascii="Times New Roman" w:eastAsia="Times New Roman" w:hAnsi="Times New Roman" w:cs="Times New Roman"/>
                <w:sz w:val="24"/>
                <w:szCs w:val="24"/>
                <w:lang w:eastAsia="en-GB"/>
              </w:rPr>
              <w:t xml:space="preserve"> markets to showcase and sell their products.</w:t>
            </w:r>
          </w:p>
          <w:p w14:paraId="1F87A917" w14:textId="77777777" w:rsidR="005C5773" w:rsidRPr="00421D6F" w:rsidRDefault="005C5773" w:rsidP="007D0033">
            <w:p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b/>
                <w:bCs/>
                <w:sz w:val="24"/>
                <w:szCs w:val="24"/>
                <w:lang w:eastAsia="en-GB"/>
              </w:rPr>
              <w:t>Supporting financing systems for agricultural and food activities:</w:t>
            </w:r>
            <w:r w:rsidRPr="00421D6F">
              <w:rPr>
                <w:rFonts w:ascii="Times New Roman" w:eastAsia="Times New Roman" w:hAnsi="Times New Roman" w:cs="Times New Roman"/>
                <w:sz w:val="24"/>
                <w:szCs w:val="24"/>
                <w:lang w:eastAsia="en-GB"/>
              </w:rPr>
              <w:br/>
              <w:t>The UAE places great importance on supporting Emirati farmers and the agricultural sector. In May 2023, President Sheikh Mohamed bin Zayed Al Nahyan directed the Ministry of Community Development, in cooperation with Etihad Water and Electricity, to support low-income citizen farmers by reducing electricity tariffs. In November 2023, the support was extended to all farm owners in the northern regions.</w:t>
            </w:r>
            <w:r w:rsidRPr="00421D6F">
              <w:rPr>
                <w:rFonts w:ascii="Times New Roman" w:eastAsia="Times New Roman" w:hAnsi="Times New Roman" w:cs="Times New Roman"/>
                <w:sz w:val="24"/>
                <w:szCs w:val="24"/>
                <w:lang w:eastAsia="en-GB"/>
              </w:rPr>
              <w:br/>
              <w:t>Moreover, the banking sector has increased support for agriculture, with banks injecting AED 500 million into agricultural projects during Q1 2020, raising the cumulative balance of facilities to AED 1.55 billion.</w:t>
            </w:r>
          </w:p>
          <w:p w14:paraId="56101C34" w14:textId="54C76B0F" w:rsidR="005C5773" w:rsidRPr="00421D6F" w:rsidRDefault="005C5773" w:rsidP="00191601">
            <w:pPr>
              <w:bidi w:val="0"/>
              <w:spacing w:before="100" w:beforeAutospacing="1" w:after="100" w:afterAutospacing="1"/>
              <w:jc w:val="left"/>
              <w:rPr>
                <w:rFonts w:ascii="Times New Roman" w:eastAsia="Times New Roman" w:hAnsi="Times New Roman" w:cs="Times New Roman"/>
                <w:sz w:val="24"/>
                <w:szCs w:val="24"/>
                <w:lang w:eastAsia="en-GB"/>
              </w:rPr>
            </w:pPr>
            <w:r w:rsidRPr="00421D6F">
              <w:rPr>
                <w:rFonts w:ascii="Times New Roman" w:eastAsia="Times New Roman" w:hAnsi="Times New Roman" w:cs="Times New Roman"/>
                <w:b/>
                <w:bCs/>
                <w:sz w:val="24"/>
                <w:szCs w:val="24"/>
                <w:lang w:eastAsia="en-GB"/>
              </w:rPr>
              <w:t>Reducing food loss and waste:</w:t>
            </w:r>
            <w:r w:rsidRPr="00421D6F">
              <w:rPr>
                <w:rFonts w:ascii="Times New Roman" w:eastAsia="Times New Roman" w:hAnsi="Times New Roman" w:cs="Times New Roman"/>
                <w:sz w:val="24"/>
                <w:szCs w:val="24"/>
                <w:lang w:eastAsia="en-GB"/>
              </w:rPr>
              <w:br/>
              <w:t xml:space="preserve">The UAE is developing an integrated system to reduce food waste in supply chains. Efforts include establishing multiple food banks across the country, setting regulatory frameworks to curb food loss and waste, creating national food safety training programmes, raising awareness on avoiding unhealthy diets, and promoting home </w:t>
            </w:r>
            <w:r w:rsidRPr="00421D6F">
              <w:rPr>
                <w:rFonts w:ascii="Times New Roman" w:eastAsia="Times New Roman" w:hAnsi="Times New Roman" w:cs="Times New Roman"/>
                <w:sz w:val="24"/>
                <w:szCs w:val="24"/>
                <w:lang w:eastAsia="en-GB"/>
              </w:rPr>
              <w:lastRenderedPageBreak/>
              <w:t>gardening and local consumption.</w:t>
            </w:r>
            <w:r w:rsidRPr="00421D6F">
              <w:rPr>
                <w:rFonts w:ascii="Times New Roman" w:eastAsia="Times New Roman" w:hAnsi="Times New Roman" w:cs="Times New Roman"/>
                <w:sz w:val="24"/>
                <w:szCs w:val="24"/>
                <w:lang w:eastAsia="en-GB"/>
              </w:rPr>
              <w:br/>
              <w:t>Through these initiatives, the UAE aims to enhance agricultural sector sustainability, achieve food security, reduce waste, and support farmers and investors in the field.</w:t>
            </w:r>
          </w:p>
          <w:p w14:paraId="4316E8B5" w14:textId="77777777" w:rsidR="005C5773" w:rsidRPr="00421D6F" w:rsidRDefault="005C5773" w:rsidP="007D0033">
            <w:pPr>
              <w:bidi w:val="0"/>
              <w:jc w:val="left"/>
              <w:rPr>
                <w:rFonts w:ascii="Times New Roman" w:eastAsia="Times New Roman" w:hAnsi="Times New Roman" w:cs="Times New Roman"/>
                <w:sz w:val="24"/>
                <w:szCs w:val="24"/>
                <w:rtl/>
                <w:lang w:bidi="ar-BH"/>
              </w:rPr>
            </w:pPr>
          </w:p>
        </w:tc>
      </w:tr>
      <w:tr w:rsidR="005C5773" w:rsidRPr="00421D6F" w14:paraId="09A41157" w14:textId="77777777" w:rsidTr="00C93156">
        <w:trPr>
          <w:gridAfter w:val="2"/>
          <w:wAfter w:w="13" w:type="dxa"/>
        </w:trPr>
        <w:tc>
          <w:tcPr>
            <w:tcW w:w="2932" w:type="dxa"/>
            <w:vAlign w:val="center"/>
          </w:tcPr>
          <w:p w14:paraId="1561DBB7" w14:textId="77777777" w:rsidR="005C5773" w:rsidRPr="00421D6F" w:rsidRDefault="005C5773" w:rsidP="007D0033">
            <w:pPr>
              <w:bidi w:val="0"/>
              <w:jc w:val="center"/>
              <w:rPr>
                <w:rFonts w:ascii="Times New Roman" w:hAnsi="Times New Roman" w:cs="Times New Roman"/>
                <w:sz w:val="24"/>
                <w:szCs w:val="24"/>
              </w:rPr>
            </w:pPr>
            <w:r w:rsidRPr="00421D6F">
              <w:rPr>
                <w:rFonts w:ascii="Times New Roman" w:hAnsi="Times New Roman" w:cs="Times New Roman"/>
                <w:sz w:val="24"/>
                <w:szCs w:val="24"/>
              </w:rPr>
              <w:lastRenderedPageBreak/>
              <w:t>102</w:t>
            </w:r>
          </w:p>
          <w:p w14:paraId="6636A823"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Issuing health insurance laws in all other emirates of the UAE and ensuring a decent life for persons with mental or physical disabilities</w:t>
            </w:r>
          </w:p>
        </w:tc>
        <w:tc>
          <w:tcPr>
            <w:tcW w:w="1998" w:type="dxa"/>
            <w:gridSpan w:val="2"/>
            <w:vAlign w:val="center"/>
          </w:tcPr>
          <w:p w14:paraId="59DD2A71" w14:textId="77777777" w:rsidR="005C5773" w:rsidRPr="00421D6F" w:rsidRDefault="005C5773" w:rsidP="007D0033">
            <w:pPr>
              <w:bidi w:val="0"/>
              <w:jc w:val="center"/>
              <w:rPr>
                <w:rFonts w:ascii="Times New Roman" w:eastAsia="Times New Roman" w:hAnsi="Times New Roman" w:cs="Times New Roman"/>
                <w:sz w:val="24"/>
                <w:szCs w:val="24"/>
                <w:rtl/>
                <w:lang w:bidi="ar-BH"/>
              </w:rPr>
            </w:pPr>
            <w:r w:rsidRPr="00421D6F">
              <w:rPr>
                <w:rFonts w:ascii="Times New Roman" w:hAnsi="Times New Roman" w:cs="Times New Roman"/>
                <w:sz w:val="24"/>
                <w:szCs w:val="24"/>
              </w:rPr>
              <w:t>Previously implemented</w:t>
            </w:r>
          </w:p>
        </w:tc>
        <w:tc>
          <w:tcPr>
            <w:tcW w:w="5103" w:type="dxa"/>
            <w:vAlign w:val="center"/>
          </w:tcPr>
          <w:p w14:paraId="14B22831" w14:textId="797E05E0" w:rsidR="005C5773" w:rsidRPr="00421D6F" w:rsidRDefault="005C5773" w:rsidP="007D0033">
            <w:pPr>
              <w:pStyle w:val="NormalWeb"/>
              <w:numPr>
                <w:ilvl w:val="0"/>
                <w:numId w:val="7"/>
              </w:numPr>
            </w:pPr>
            <w:r w:rsidRPr="00421D6F">
              <w:t xml:space="preserve">The UAE has issued federal laws regulating health insurance nationwide, such as Federal Law No. (6) of 2007 on the establishment of the Insurance Authority and the </w:t>
            </w:r>
            <w:r w:rsidR="008F1419" w:rsidRPr="00421D6F">
              <w:t>organization</w:t>
            </w:r>
            <w:r w:rsidRPr="00421D6F">
              <w:t xml:space="preserve"> of its work, as amended by Federal Law No. (3) of 2018. This law regulates the insurance sector in general, including health insurance, across all emirates.</w:t>
            </w:r>
          </w:p>
          <w:p w14:paraId="11BC8BF0" w14:textId="77777777" w:rsidR="005C5773" w:rsidRPr="00421D6F" w:rsidRDefault="005C5773" w:rsidP="007D0033">
            <w:pPr>
              <w:pStyle w:val="NormalWeb"/>
              <w:numPr>
                <w:ilvl w:val="0"/>
                <w:numId w:val="7"/>
              </w:numPr>
            </w:pPr>
            <w:r w:rsidRPr="00421D6F">
              <w:t>The UAE ensures the provision of all requirements and needs for persons with mental disabilities, including the issuance of the 2023 Mental Health Law, which mandates the inclusion of mental health services within the health insurance system.</w:t>
            </w:r>
          </w:p>
          <w:p w14:paraId="09512924" w14:textId="77777777" w:rsidR="005C5773" w:rsidRPr="00421D6F" w:rsidRDefault="005C5773" w:rsidP="007D0033">
            <w:pPr>
              <w:pStyle w:val="NormalWeb"/>
              <w:numPr>
                <w:ilvl w:val="0"/>
                <w:numId w:val="7"/>
              </w:numPr>
              <w:rPr>
                <w:rtl/>
                <w:lang w:bidi="ar-BH"/>
              </w:rPr>
            </w:pPr>
            <w:r w:rsidRPr="00421D6F">
              <w:t>The UAE also provides health insurance for persons with disabilities (people of determination) to ensure they receive the necessary healthcare. The Emirates Health Services Corporation issues a health card for people of determination, enabling them to access all medical services free of charge through its facilities. The Ministry of Community Development also issues a card for people of determination, granting them free health insurance and eyeglasses. This card serves as an official document confirming disability status and guaranteeing the rights and services stipulated in Federal Law No. (29) of 2006 on the Rights of Persons with Disabilities and its implementing regulations and decisions.</w:t>
            </w:r>
          </w:p>
        </w:tc>
      </w:tr>
      <w:tr w:rsidR="00191601" w:rsidRPr="00421D6F" w14:paraId="34DD7731" w14:textId="77777777" w:rsidTr="00C93156">
        <w:trPr>
          <w:gridAfter w:val="2"/>
          <w:wAfter w:w="13" w:type="dxa"/>
        </w:trPr>
        <w:tc>
          <w:tcPr>
            <w:tcW w:w="2945" w:type="dxa"/>
            <w:gridSpan w:val="2"/>
            <w:vAlign w:val="center"/>
          </w:tcPr>
          <w:p w14:paraId="6CBFC232" w14:textId="77777777" w:rsidR="00191601" w:rsidRPr="00421D6F" w:rsidRDefault="00191601" w:rsidP="007D0033">
            <w:pPr>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t>106</w:t>
            </w:r>
          </w:p>
          <w:p w14:paraId="1389FC31" w14:textId="7DED4FA8" w:rsidR="00191601" w:rsidRPr="00421D6F" w:rsidRDefault="008F1419" w:rsidP="007D0033">
            <w:pPr>
              <w:bidi w:val="0"/>
              <w:jc w:val="lowKashida"/>
              <w:rPr>
                <w:rFonts w:asciiTheme="majorBidi" w:eastAsia="Times New Roman" w:hAnsiTheme="majorBidi" w:cstheme="majorBidi"/>
                <w:sz w:val="24"/>
                <w:szCs w:val="24"/>
                <w:highlight w:val="yellow"/>
                <w:rtl/>
                <w:lang w:bidi="ar-BH"/>
              </w:rPr>
            </w:pPr>
            <w:r w:rsidRPr="00421D6F">
              <w:rPr>
                <w:rFonts w:asciiTheme="majorBidi" w:eastAsia="Times New Roman" w:hAnsiTheme="majorBidi" w:cstheme="majorBidi"/>
                <w:sz w:val="24"/>
                <w:szCs w:val="24"/>
                <w:lang w:bidi="ar-BH"/>
              </w:rPr>
              <w:t>Allocating</w:t>
            </w:r>
            <w:r w:rsidR="00191601" w:rsidRPr="00421D6F">
              <w:rPr>
                <w:rFonts w:asciiTheme="majorBidi" w:eastAsia="Times New Roman" w:hAnsiTheme="majorBidi" w:cstheme="majorBidi"/>
                <w:sz w:val="24"/>
                <w:szCs w:val="24"/>
                <w:lang w:bidi="ar-BH"/>
              </w:rPr>
              <w:t xml:space="preserve"> a percentage quota for employing people of determination in vacant positions is stipulated in </w:t>
            </w:r>
            <w:r w:rsidR="00191601" w:rsidRPr="00421D6F">
              <w:rPr>
                <w:rFonts w:asciiTheme="majorBidi" w:eastAsia="Times New Roman" w:hAnsiTheme="majorBidi" w:cstheme="majorBidi"/>
                <w:sz w:val="24"/>
                <w:szCs w:val="24"/>
                <w:lang w:bidi="ar-BH"/>
              </w:rPr>
              <w:lastRenderedPageBreak/>
              <w:t>Federal Law No. (11) of 2008 on Human Resources in the Federal Government, in line with the local Civil Service Law applicable to the authorities and departments of the Emirate of Abu Dhabi. The Committee once again calls on the State side to include in Federal Law No. (8) of 1980 concerning the Regulation of Labour Relations a specific provision setting a quota for hiring people of determination in private sector institutions.</w:t>
            </w:r>
          </w:p>
        </w:tc>
        <w:tc>
          <w:tcPr>
            <w:tcW w:w="1985" w:type="dxa"/>
            <w:vAlign w:val="center"/>
          </w:tcPr>
          <w:p w14:paraId="2F9C9960" w14:textId="77777777" w:rsidR="00191601" w:rsidRPr="00421D6F" w:rsidRDefault="00191601" w:rsidP="007D0033">
            <w:pPr>
              <w:jc w:val="center"/>
              <w:rPr>
                <w:rFonts w:asciiTheme="majorBidi" w:eastAsia="Times New Roman" w:hAnsiTheme="majorBidi" w:cstheme="majorBidi"/>
                <w:sz w:val="24"/>
                <w:szCs w:val="24"/>
                <w:highlight w:val="yellow"/>
                <w:rtl/>
                <w:lang w:bidi="ar-BH"/>
              </w:rPr>
            </w:pPr>
            <w:r w:rsidRPr="00421D6F">
              <w:rPr>
                <w:rFonts w:asciiTheme="majorBidi" w:eastAsia="Times New Roman" w:hAnsiTheme="majorBidi" w:cstheme="majorBidi"/>
                <w:sz w:val="24"/>
                <w:szCs w:val="24"/>
                <w:lang w:bidi="ar-BH"/>
              </w:rPr>
              <w:lastRenderedPageBreak/>
              <w:t>Implemented</w:t>
            </w:r>
            <w:r w:rsidRPr="00421D6F">
              <w:rPr>
                <w:rFonts w:asciiTheme="majorBidi" w:eastAsia="Times New Roman" w:hAnsiTheme="majorBidi" w:cstheme="majorBidi"/>
                <w:sz w:val="24"/>
                <w:szCs w:val="24"/>
                <w:rtl/>
                <w:lang w:bidi="ar-BH"/>
              </w:rPr>
              <w:t xml:space="preserve"> </w:t>
            </w:r>
          </w:p>
        </w:tc>
        <w:tc>
          <w:tcPr>
            <w:tcW w:w="5103" w:type="dxa"/>
            <w:vAlign w:val="center"/>
          </w:tcPr>
          <w:p w14:paraId="25B4CCD8" w14:textId="77777777" w:rsidR="00191601" w:rsidRPr="00421D6F" w:rsidRDefault="00191601" w:rsidP="007D0033">
            <w:pPr>
              <w:pStyle w:val="NormalWeb"/>
              <w:numPr>
                <w:ilvl w:val="0"/>
                <w:numId w:val="7"/>
              </w:numPr>
              <w:tabs>
                <w:tab w:val="clear" w:pos="720"/>
              </w:tabs>
              <w:ind w:left="328" w:hanging="180"/>
              <w:jc w:val="both"/>
            </w:pPr>
            <w:r w:rsidRPr="00421D6F">
              <w:t xml:space="preserve">There are binding decisions requiring institutions to allocate a specific percentage of jobs to people of determination. These measures are being implemented as the country works to promote their integration into the labor market through policies and initiatives that encourage </w:t>
            </w:r>
            <w:r w:rsidRPr="00421D6F">
              <w:lastRenderedPageBreak/>
              <w:t>institutions to employ them and provide supportive work environments.</w:t>
            </w:r>
          </w:p>
          <w:p w14:paraId="2423538F" w14:textId="77777777" w:rsidR="00191601" w:rsidRPr="00421D6F" w:rsidRDefault="00191601" w:rsidP="007D0033">
            <w:pPr>
              <w:pStyle w:val="NormalWeb"/>
              <w:numPr>
                <w:ilvl w:val="0"/>
                <w:numId w:val="7"/>
              </w:numPr>
              <w:tabs>
                <w:tab w:val="clear" w:pos="720"/>
                <w:tab w:val="num" w:pos="360"/>
              </w:tabs>
              <w:ind w:left="238" w:hanging="180"/>
              <w:jc w:val="both"/>
            </w:pPr>
            <w:r w:rsidRPr="00421D6F">
              <w:t xml:space="preserve">We also underline the importance of ensuring </w:t>
            </w:r>
            <w:r w:rsidRPr="00421D6F">
              <w:rPr>
                <w:u w:val="single"/>
              </w:rPr>
              <w:t>equal opportunities and preventing discrimination in employment</w:t>
            </w:r>
            <w:r w:rsidRPr="00421D6F">
              <w:t>. Federal Law No. (29) of 2006 and its amendments, guarantee the right of people of determination to work and to hold public positions, emphasizing that disability shall not be considered an obstacle to candidacy or selection for jobs.</w:t>
            </w:r>
          </w:p>
          <w:p w14:paraId="7A496DA9" w14:textId="77777777" w:rsidR="00191601" w:rsidRPr="00421D6F" w:rsidRDefault="00191601" w:rsidP="007D0033">
            <w:pPr>
              <w:pStyle w:val="ListParagraph"/>
              <w:numPr>
                <w:ilvl w:val="0"/>
                <w:numId w:val="7"/>
              </w:numPr>
              <w:tabs>
                <w:tab w:val="clear" w:pos="720"/>
                <w:tab w:val="num" w:pos="238"/>
              </w:tabs>
              <w:bidi w:val="0"/>
              <w:spacing w:before="100" w:beforeAutospacing="1" w:after="100" w:afterAutospacing="1"/>
              <w:ind w:left="238" w:hanging="238"/>
              <w:rPr>
                <w:rFonts w:ascii="Times New Roman" w:eastAsia="Times New Roman" w:hAnsi="Times New Roman" w:cs="Times New Roman"/>
                <w:sz w:val="24"/>
                <w:szCs w:val="24"/>
              </w:rPr>
            </w:pPr>
            <w:r w:rsidRPr="00421D6F">
              <w:rPr>
                <w:rFonts w:ascii="Times New Roman" w:eastAsia="Times New Roman" w:hAnsi="Times New Roman" w:cs="Times New Roman"/>
                <w:sz w:val="24"/>
                <w:szCs w:val="24"/>
              </w:rPr>
              <w:t xml:space="preserve">In addition, Cabinet Resolution No. 43 of 2018 </w:t>
            </w:r>
            <w:r w:rsidRPr="00421D6F">
              <w:rPr>
                <w:rFonts w:asciiTheme="majorBidi" w:eastAsia="Times New Roman" w:hAnsiTheme="majorBidi" w:cstheme="majorBidi"/>
                <w:sz w:val="24"/>
                <w:szCs w:val="24"/>
                <w:lang w:bidi="ar-BH"/>
              </w:rPr>
              <w:t>on Supporting the Work of People of Determination</w:t>
            </w:r>
            <w:r w:rsidRPr="00421D6F">
              <w:rPr>
                <w:rFonts w:ascii="Times New Roman" w:eastAsia="Times New Roman" w:hAnsi="Times New Roman" w:cs="Times New Roman"/>
                <w:sz w:val="24"/>
                <w:szCs w:val="24"/>
              </w:rPr>
              <w:t xml:space="preserve"> was issued with the aim of enabling them to access opportunities available in various sectors, providing them with the necessary support in securing equal job opportunities, and assist those who wish to establish their own businesses.</w:t>
            </w:r>
          </w:p>
          <w:p w14:paraId="6E00EEFE" w14:textId="77777777" w:rsidR="00191601" w:rsidRPr="00421D6F" w:rsidRDefault="00191601" w:rsidP="007D0033">
            <w:pPr>
              <w:pStyle w:val="NormalWeb"/>
              <w:numPr>
                <w:ilvl w:val="0"/>
                <w:numId w:val="7"/>
              </w:numPr>
              <w:tabs>
                <w:tab w:val="clear" w:pos="720"/>
                <w:tab w:val="num" w:pos="238"/>
              </w:tabs>
              <w:ind w:left="238" w:hanging="180"/>
              <w:jc w:val="both"/>
              <w:rPr>
                <w:rtl/>
              </w:rPr>
            </w:pPr>
            <w:r w:rsidRPr="00421D6F">
              <w:t>We also affirm that Article (40) of the Arab Charter on Human Rights does not require setting an employment quota.</w:t>
            </w:r>
          </w:p>
        </w:tc>
      </w:tr>
      <w:tr w:rsidR="00191601" w:rsidRPr="00421D6F" w14:paraId="4592648B" w14:textId="77777777" w:rsidTr="00C93156">
        <w:trPr>
          <w:gridAfter w:val="2"/>
          <w:wAfter w:w="13" w:type="dxa"/>
        </w:trPr>
        <w:tc>
          <w:tcPr>
            <w:tcW w:w="2945" w:type="dxa"/>
            <w:gridSpan w:val="2"/>
            <w:vAlign w:val="center"/>
          </w:tcPr>
          <w:p w14:paraId="2F326273" w14:textId="77777777" w:rsidR="00191601" w:rsidRPr="00421D6F" w:rsidRDefault="00191601" w:rsidP="007D0033">
            <w:pPr>
              <w:bidi w:val="0"/>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lastRenderedPageBreak/>
              <w:t>109</w:t>
            </w:r>
          </w:p>
          <w:p w14:paraId="3AF7B2D7" w14:textId="77777777" w:rsidR="00191601" w:rsidRPr="00421D6F" w:rsidRDefault="00191601" w:rsidP="007D0033">
            <w:pPr>
              <w:bidi w:val="0"/>
              <w:jc w:val="center"/>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Develop indicators to monitor progress in implementing the Ministry of Education’s Strategy for Education Development 2017–2021, and establish a comprehensive strategy to ensure academic freedoms.</w:t>
            </w:r>
          </w:p>
          <w:p w14:paraId="4B94AC82" w14:textId="77777777" w:rsidR="00191601" w:rsidRPr="00421D6F" w:rsidRDefault="00191601" w:rsidP="007D0033">
            <w:pPr>
              <w:jc w:val="center"/>
              <w:rPr>
                <w:rFonts w:ascii="Simplified Arabic" w:eastAsia="Times New Roman" w:hAnsi="Simplified Arabic" w:cs="Simplified Arabic"/>
                <w:sz w:val="24"/>
                <w:szCs w:val="24"/>
                <w:highlight w:val="yellow"/>
                <w:rtl/>
                <w:lang w:bidi="ar-BH"/>
              </w:rPr>
            </w:pPr>
          </w:p>
        </w:tc>
        <w:tc>
          <w:tcPr>
            <w:tcW w:w="1985" w:type="dxa"/>
            <w:vAlign w:val="center"/>
          </w:tcPr>
          <w:p w14:paraId="21AADF3B" w14:textId="77777777" w:rsidR="00191601" w:rsidRPr="00421D6F" w:rsidRDefault="00191601" w:rsidP="007D0033">
            <w:pPr>
              <w:jc w:val="center"/>
              <w:rPr>
                <w:rFonts w:ascii="Simplified Arabic" w:eastAsia="Times New Roman" w:hAnsi="Simplified Arabic" w:cs="Simplified Arabic"/>
                <w:sz w:val="24"/>
                <w:szCs w:val="24"/>
                <w:highlight w:val="yellow"/>
                <w:rtl/>
                <w:lang w:bidi="ar-BH"/>
              </w:rPr>
            </w:pPr>
            <w:r w:rsidRPr="00421D6F">
              <w:rPr>
                <w:rFonts w:asciiTheme="majorBidi" w:eastAsia="Times New Roman" w:hAnsiTheme="majorBidi" w:cstheme="majorBidi"/>
                <w:sz w:val="24"/>
                <w:szCs w:val="24"/>
                <w:lang w:bidi="ar-BH"/>
              </w:rPr>
              <w:t>Implemented</w:t>
            </w:r>
          </w:p>
        </w:tc>
        <w:tc>
          <w:tcPr>
            <w:tcW w:w="5103" w:type="dxa"/>
            <w:vAlign w:val="center"/>
          </w:tcPr>
          <w:p w14:paraId="33429268" w14:textId="77777777" w:rsidR="00191601" w:rsidRPr="00421D6F" w:rsidRDefault="00191601" w:rsidP="007D0033">
            <w:pPr>
              <w:bidi w:val="0"/>
              <w:spacing w:before="100" w:beforeAutospacing="1" w:after="100" w:afterAutospacing="1"/>
              <w:rPr>
                <w:rFonts w:asciiTheme="majorBidi" w:eastAsia="Times New Roman" w:hAnsiTheme="majorBidi" w:cstheme="majorBidi"/>
                <w:sz w:val="24"/>
                <w:szCs w:val="24"/>
                <w:lang w:bidi="ar-BH"/>
              </w:rPr>
            </w:pPr>
            <w:r w:rsidRPr="00421D6F">
              <w:rPr>
                <w:rFonts w:asciiTheme="majorBidi" w:eastAsia="Times New Roman" w:hAnsiTheme="majorBidi" w:cstheme="majorBidi"/>
                <w:b/>
                <w:bCs/>
                <w:sz w:val="24"/>
                <w:szCs w:val="24"/>
                <w:lang w:bidi="ar-BH"/>
              </w:rPr>
              <w:t>First:</w:t>
            </w:r>
            <w:r w:rsidRPr="00421D6F">
              <w:rPr>
                <w:rFonts w:asciiTheme="majorBidi" w:eastAsia="Times New Roman" w:hAnsiTheme="majorBidi" w:cstheme="majorBidi"/>
                <w:sz w:val="24"/>
                <w:szCs w:val="24"/>
                <w:lang w:bidi="ar-BH"/>
              </w:rPr>
              <w:t xml:space="preserve"> </w:t>
            </w:r>
            <w:r w:rsidRPr="00421D6F">
              <w:rPr>
                <w:rFonts w:asciiTheme="majorBidi" w:eastAsia="Times New Roman" w:hAnsiTheme="majorBidi" w:cstheme="majorBidi"/>
                <w:b/>
                <w:bCs/>
                <w:sz w:val="24"/>
                <w:szCs w:val="24"/>
                <w:lang w:bidi="ar-BH"/>
              </w:rPr>
              <w:t>The UAE has established clear indicators to monitor progress</w:t>
            </w:r>
            <w:r w:rsidRPr="00421D6F">
              <w:rPr>
                <w:rFonts w:asciiTheme="majorBidi" w:eastAsia="Times New Roman" w:hAnsiTheme="majorBidi" w:cstheme="majorBidi"/>
                <w:sz w:val="24"/>
                <w:szCs w:val="24"/>
                <w:lang w:bidi="ar-BH"/>
              </w:rPr>
              <w:t xml:space="preserve"> in implementing the Ministry of Education’s Education Development Strategy 2017–2021. These indicators include specific measurable targets such as: </w:t>
            </w:r>
          </w:p>
          <w:p w14:paraId="1BF76D8F"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Achieving top rankings in international tests: positioning the UAE among the world’s top 20 countries in the PISA test and top 15 in the TIMSS test.</w:t>
            </w:r>
          </w:p>
          <w:p w14:paraId="7E32CF40"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High school graduation rate: reaching a graduation rate of 98%.</w:t>
            </w:r>
          </w:p>
          <w:p w14:paraId="7E45D550"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Kindergarten enrollment: ensuring a 95% enrollment rate for preschool-age children.</w:t>
            </w:r>
          </w:p>
          <w:p w14:paraId="5815630F"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Arabic language proficiency: guaranteeing that 90% of Grade 9 students achieve advanced skills in Arabic.</w:t>
            </w:r>
          </w:p>
          <w:p w14:paraId="4786202C"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Quality of teachers and school administration: ensuring that all schools are staffed with highly qualified teachers and administrators.</w:t>
            </w:r>
          </w:p>
          <w:p w14:paraId="7F8D1D22"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Eliminating the need for a foundation year: reducing to zero the percentage of students requiring a foundation year before entering university.</w:t>
            </w:r>
          </w:p>
          <w:p w14:paraId="63A3A9CB"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lastRenderedPageBreak/>
              <w:t>Investment in research and development: raising R&amp;D spending to 1.5% of GDP.</w:t>
            </w:r>
          </w:p>
          <w:p w14:paraId="18B5C81C" w14:textId="77777777" w:rsidR="00191601" w:rsidRPr="00421D6F" w:rsidRDefault="00191601" w:rsidP="007D0033">
            <w:pPr>
              <w:bidi w:val="0"/>
              <w:spacing w:before="100" w:beforeAutospacing="1" w:after="100" w:afterAutospacing="1"/>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 xml:space="preserve">Progress on these indicators is tracked through the Ministry of Education’s official website, where periodic reports and statistics are made publicly available under the “Reports and Statistics” section. </w:t>
            </w:r>
          </w:p>
          <w:p w14:paraId="10CA9B36" w14:textId="77777777" w:rsidR="00191601" w:rsidRPr="00421D6F" w:rsidRDefault="00191601" w:rsidP="007D0033">
            <w:pPr>
              <w:bidi w:val="0"/>
              <w:spacing w:before="100" w:beforeAutospacing="1" w:after="100" w:afterAutospacing="1"/>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 xml:space="preserve">The Ministry also provides visual data presentations to make information easier to understand and interpret. </w:t>
            </w:r>
          </w:p>
          <w:p w14:paraId="47B13392" w14:textId="77777777" w:rsidR="00191601" w:rsidRPr="00421D6F" w:rsidRDefault="00191601" w:rsidP="007D0033">
            <w:pPr>
              <w:bidi w:val="0"/>
              <w:spacing w:before="100" w:beforeAutospacing="1" w:after="100" w:afterAutospacing="1"/>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In addition, the UAE Ministry of Education has launched its new 2023–2026 strategy, which aims to enhance the quality of education, align it with future requirements, and adopt the National Strategy for Higher Education 2030.</w:t>
            </w:r>
          </w:p>
          <w:p w14:paraId="7414306B" w14:textId="77777777" w:rsidR="00191601" w:rsidRPr="00421D6F" w:rsidRDefault="00191601" w:rsidP="007D0033">
            <w:pPr>
              <w:bidi w:val="0"/>
              <w:spacing w:before="100" w:beforeAutospacing="1" w:after="100" w:afterAutospacing="1"/>
              <w:rPr>
                <w:rFonts w:asciiTheme="majorBidi" w:hAnsiTheme="majorBidi" w:cstheme="majorBidi"/>
                <w:rtl/>
                <w:lang w:bidi="ar-AE"/>
              </w:rPr>
            </w:pPr>
            <w:r w:rsidRPr="00421D6F">
              <w:rPr>
                <w:rFonts w:asciiTheme="majorBidi" w:hAnsiTheme="majorBidi" w:cstheme="majorBidi"/>
                <w:b/>
                <w:bCs/>
                <w:lang w:bidi="ar-AE"/>
              </w:rPr>
              <w:t>Second:</w:t>
            </w:r>
            <w:r w:rsidRPr="00421D6F">
              <w:rPr>
                <w:rFonts w:asciiTheme="majorBidi" w:hAnsiTheme="majorBidi" w:cstheme="majorBidi"/>
                <w:lang w:bidi="ar-AE"/>
              </w:rPr>
              <w:t xml:space="preserve"> </w:t>
            </w:r>
            <w:r w:rsidRPr="00421D6F">
              <w:rPr>
                <w:rFonts w:asciiTheme="majorBidi" w:hAnsiTheme="majorBidi" w:cstheme="majorBidi"/>
                <w:b/>
                <w:bCs/>
                <w:sz w:val="24"/>
                <w:szCs w:val="24"/>
                <w:lang w:bidi="ar-AE"/>
              </w:rPr>
              <w:t>With regard to academic freedom</w:t>
            </w:r>
            <w:r w:rsidRPr="00421D6F">
              <w:rPr>
                <w:rFonts w:asciiTheme="majorBidi" w:hAnsiTheme="majorBidi" w:cstheme="majorBidi"/>
                <w:sz w:val="24"/>
                <w:szCs w:val="24"/>
                <w:lang w:bidi="ar-AE"/>
              </w:rPr>
              <w:t>: Universities in the UAE, such as Al-Ain University, affirm their commitment to academic freedom through approved internal policies that guarantee the right of academic community members to study, debate, investigate, teach, conduct research, and publish, in line with their roles and responsibilities.</w:t>
            </w:r>
          </w:p>
        </w:tc>
      </w:tr>
      <w:tr w:rsidR="00191601" w:rsidRPr="00421D6F" w14:paraId="24E22FF4" w14:textId="77777777" w:rsidTr="00C93156">
        <w:trPr>
          <w:gridAfter w:val="2"/>
          <w:wAfter w:w="13" w:type="dxa"/>
        </w:trPr>
        <w:tc>
          <w:tcPr>
            <w:tcW w:w="2945" w:type="dxa"/>
            <w:gridSpan w:val="2"/>
            <w:vAlign w:val="center"/>
          </w:tcPr>
          <w:p w14:paraId="1C280316" w14:textId="77777777" w:rsidR="00191601" w:rsidRPr="00421D6F" w:rsidRDefault="00191601" w:rsidP="007D0033">
            <w:pPr>
              <w:bidi w:val="0"/>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lastRenderedPageBreak/>
              <w:t>111</w:t>
            </w:r>
          </w:p>
          <w:p w14:paraId="460B2D9F" w14:textId="77777777" w:rsidR="00191601" w:rsidRPr="00421D6F" w:rsidRDefault="00191601" w:rsidP="007D0033">
            <w:pPr>
              <w:bidi w:val="0"/>
              <w:jc w:val="center"/>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Guarantee free and compulsory primary education for all school-age persons residing in its territory, without discrimination, in accordance with Article (41) of the Charter.</w:t>
            </w:r>
          </w:p>
          <w:p w14:paraId="35E2034E" w14:textId="77777777" w:rsidR="00191601" w:rsidRPr="00421D6F" w:rsidRDefault="00191601" w:rsidP="007D0033">
            <w:pPr>
              <w:jc w:val="center"/>
              <w:rPr>
                <w:rFonts w:ascii="Simplified Arabic" w:eastAsia="Times New Roman" w:hAnsi="Simplified Arabic" w:cs="Simplified Arabic"/>
                <w:sz w:val="24"/>
                <w:szCs w:val="24"/>
                <w:highlight w:val="yellow"/>
                <w:rtl/>
                <w:lang w:bidi="ar-BH"/>
              </w:rPr>
            </w:pPr>
          </w:p>
        </w:tc>
        <w:tc>
          <w:tcPr>
            <w:tcW w:w="1985" w:type="dxa"/>
            <w:vAlign w:val="center"/>
          </w:tcPr>
          <w:p w14:paraId="3AA5994F" w14:textId="77777777" w:rsidR="00191601" w:rsidRPr="00421D6F" w:rsidRDefault="00191601" w:rsidP="007D0033">
            <w:pPr>
              <w:jc w:val="center"/>
              <w:rPr>
                <w:rFonts w:ascii="Simplified Arabic" w:eastAsia="Times New Roman" w:hAnsi="Simplified Arabic" w:cs="Simplified Arabic"/>
                <w:sz w:val="24"/>
                <w:szCs w:val="24"/>
                <w:highlight w:val="yellow"/>
                <w:rtl/>
                <w:lang w:bidi="ar-BH"/>
              </w:rPr>
            </w:pPr>
            <w:r w:rsidRPr="00421D6F">
              <w:rPr>
                <w:rFonts w:asciiTheme="majorBidi" w:eastAsia="Times New Roman" w:hAnsiTheme="majorBidi" w:cstheme="majorBidi"/>
                <w:sz w:val="24"/>
                <w:szCs w:val="24"/>
                <w:lang w:bidi="ar-BH"/>
              </w:rPr>
              <w:t>Implemented</w:t>
            </w:r>
          </w:p>
        </w:tc>
        <w:tc>
          <w:tcPr>
            <w:tcW w:w="5103" w:type="dxa"/>
            <w:vAlign w:val="center"/>
          </w:tcPr>
          <w:p w14:paraId="7DF73A98" w14:textId="77777777" w:rsidR="00191601" w:rsidRPr="00421D6F" w:rsidRDefault="00191601" w:rsidP="007D0033">
            <w:pPr>
              <w:bidi w:val="0"/>
              <w:spacing w:before="100" w:beforeAutospacing="1" w:after="100" w:afterAutospacing="1"/>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The country is committed to providing free and compulsory education for all citizens, guaranteeing this right without discrimination. It is also committed to ensuring compulsory basic education for non-nationals. In this regard, several initiatives have been introduced to provide access to basic education in government schools for non-nationals at nominal fees. In 2019, the Tolerance Schools Initiative was launched to support resident students, while the Khalifa bin Zayed Foundation for Humanitarian Works covers the fees of students unable to afford them.</w:t>
            </w:r>
          </w:p>
          <w:p w14:paraId="108FE3B0" w14:textId="77777777" w:rsidR="00191601" w:rsidRPr="00421D6F" w:rsidRDefault="00191601" w:rsidP="007D0033">
            <w:pPr>
              <w:bidi w:val="0"/>
              <w:spacing w:before="100" w:beforeAutospacing="1" w:after="100" w:afterAutospacing="1"/>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u w:val="single"/>
                <w:lang w:bidi="ar-BH"/>
              </w:rPr>
              <w:t>From our perspective as a public benefit association</w:t>
            </w:r>
            <w:r w:rsidRPr="00421D6F">
              <w:rPr>
                <w:rFonts w:asciiTheme="majorBidi" w:eastAsia="Times New Roman" w:hAnsiTheme="majorBidi" w:cstheme="majorBidi"/>
                <w:sz w:val="24"/>
                <w:szCs w:val="24"/>
                <w:lang w:bidi="ar-BH"/>
              </w:rPr>
              <w:t xml:space="preserve">, the recommendation to provide free education for non-nationals should be implemented with a balanced allocation of resources to ensure sustainability and avoid negatively affecting other essential services. That means it depends on the </w:t>
            </w:r>
            <w:r w:rsidRPr="00421D6F">
              <w:rPr>
                <w:rFonts w:asciiTheme="majorBidi" w:eastAsia="Times New Roman" w:hAnsiTheme="majorBidi" w:cstheme="majorBidi"/>
                <w:sz w:val="24"/>
                <w:szCs w:val="24"/>
                <w:lang w:bidi="ar-BH"/>
              </w:rPr>
              <w:lastRenderedPageBreak/>
              <w:t>economic capacity of each country, as it may lead to the following:</w:t>
            </w:r>
          </w:p>
          <w:p w14:paraId="7B1EA42F"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b/>
                <w:bCs/>
                <w:sz w:val="24"/>
                <w:szCs w:val="24"/>
                <w:lang w:bidi="ar-BH"/>
              </w:rPr>
              <w:t>Financial burden:</w:t>
            </w:r>
            <w:r w:rsidRPr="00421D6F">
              <w:rPr>
                <w:rFonts w:asciiTheme="majorBidi" w:eastAsia="Times New Roman" w:hAnsiTheme="majorBidi" w:cstheme="majorBidi"/>
                <w:sz w:val="24"/>
                <w:szCs w:val="24"/>
                <w:lang w:bidi="ar-BH"/>
              </w:rPr>
              <w:t xml:space="preserve"> Covering the cost of free education for non-nationals could place heavy financial pressure on the state budget, which may negatively affect the services provided to nationals.</w:t>
            </w:r>
          </w:p>
          <w:p w14:paraId="618DA9B1"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b/>
                <w:bCs/>
                <w:sz w:val="24"/>
                <w:szCs w:val="24"/>
                <w:lang w:bidi="ar-BH"/>
              </w:rPr>
              <w:t>National priorities:</w:t>
            </w:r>
            <w:r w:rsidRPr="00421D6F">
              <w:rPr>
                <w:rFonts w:asciiTheme="majorBidi" w:eastAsia="Times New Roman" w:hAnsiTheme="majorBidi" w:cstheme="majorBidi"/>
                <w:sz w:val="24"/>
                <w:szCs w:val="24"/>
                <w:lang w:bidi="ar-BH"/>
              </w:rPr>
              <w:t xml:space="preserve"> States have the right to allocate their resources to support their citizens first, especially if resources are limited. </w:t>
            </w:r>
          </w:p>
          <w:p w14:paraId="12B3C6A4" w14:textId="77777777" w:rsidR="00191601" w:rsidRPr="00421D6F" w:rsidRDefault="00191601" w:rsidP="007D0033">
            <w:pPr>
              <w:numPr>
                <w:ilvl w:val="0"/>
                <w:numId w:val="7"/>
              </w:numPr>
              <w:tabs>
                <w:tab w:val="clear" w:pos="720"/>
                <w:tab w:val="num" w:pos="210"/>
              </w:tabs>
              <w:bidi w:val="0"/>
              <w:spacing w:before="100" w:beforeAutospacing="1" w:after="100" w:afterAutospacing="1"/>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b/>
                <w:bCs/>
                <w:sz w:val="24"/>
                <w:szCs w:val="24"/>
                <w:lang w:bidi="ar-BH"/>
              </w:rPr>
              <w:t>Administrative challenges:</w:t>
            </w:r>
            <w:r w:rsidRPr="00421D6F">
              <w:rPr>
                <w:rFonts w:asciiTheme="majorBidi" w:eastAsia="Times New Roman" w:hAnsiTheme="majorBidi" w:cstheme="majorBidi"/>
                <w:sz w:val="24"/>
                <w:szCs w:val="24"/>
                <w:lang w:bidi="ar-BH"/>
              </w:rPr>
              <w:t xml:space="preserve"> Implementing a free education system for non-nationals may require substantial administrative and legal changes, which could be difficult and costly.</w:t>
            </w:r>
          </w:p>
          <w:p w14:paraId="15D8452B" w14:textId="77777777" w:rsidR="00191601" w:rsidRPr="00421D6F" w:rsidRDefault="00191601" w:rsidP="007D0033">
            <w:pPr>
              <w:numPr>
                <w:ilvl w:val="0"/>
                <w:numId w:val="7"/>
              </w:numPr>
              <w:tabs>
                <w:tab w:val="num" w:pos="210"/>
              </w:tabs>
              <w:bidi w:val="0"/>
              <w:spacing w:before="100" w:beforeAutospacing="1" w:after="100" w:afterAutospacing="1"/>
              <w:ind w:left="150" w:hanging="150"/>
              <w:rPr>
                <w:rFonts w:asciiTheme="majorBidi" w:eastAsia="Times New Roman" w:hAnsiTheme="majorBidi" w:cstheme="majorBidi"/>
                <w:sz w:val="24"/>
                <w:szCs w:val="24"/>
                <w:rtl/>
                <w:lang w:bidi="ar-BH"/>
              </w:rPr>
            </w:pPr>
            <w:r w:rsidRPr="00421D6F">
              <w:rPr>
                <w:rFonts w:asciiTheme="majorBidi" w:eastAsia="Times New Roman" w:hAnsiTheme="majorBidi" w:cstheme="majorBidi"/>
                <w:b/>
                <w:bCs/>
                <w:sz w:val="24"/>
                <w:szCs w:val="24"/>
                <w:lang w:bidi="ar-BH"/>
              </w:rPr>
              <w:t>Unfair benefit:</w:t>
            </w:r>
            <w:r w:rsidRPr="00421D6F">
              <w:rPr>
                <w:rFonts w:asciiTheme="majorBidi" w:eastAsia="Times New Roman" w:hAnsiTheme="majorBidi" w:cstheme="majorBidi"/>
                <w:sz w:val="24"/>
                <w:szCs w:val="24"/>
                <w:lang w:bidi="ar-BH"/>
              </w:rPr>
              <w:t xml:space="preserve"> Offering free education to non-nationals may encourage some individuals to migrate solely to benefit from the system, without making a long-term contribution to society.</w:t>
            </w:r>
          </w:p>
        </w:tc>
      </w:tr>
      <w:tr w:rsidR="00191601" w:rsidRPr="00421D6F" w14:paraId="1FF15AA8" w14:textId="77777777" w:rsidTr="00C93156">
        <w:trPr>
          <w:gridAfter w:val="2"/>
          <w:wAfter w:w="13" w:type="dxa"/>
        </w:trPr>
        <w:tc>
          <w:tcPr>
            <w:tcW w:w="2945" w:type="dxa"/>
            <w:gridSpan w:val="2"/>
            <w:vAlign w:val="center"/>
          </w:tcPr>
          <w:p w14:paraId="1456795D" w14:textId="77777777" w:rsidR="00191601" w:rsidRPr="00421D6F" w:rsidRDefault="00191601" w:rsidP="007D0033">
            <w:pPr>
              <w:bidi w:val="0"/>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lastRenderedPageBreak/>
              <w:t>113</w:t>
            </w:r>
          </w:p>
          <w:p w14:paraId="547A9078" w14:textId="49CA2294" w:rsidR="00191601" w:rsidRPr="00421D6F" w:rsidRDefault="00191601" w:rsidP="007D0033">
            <w:pPr>
              <w:bidi w:val="0"/>
              <w:jc w:val="center"/>
              <w:rPr>
                <w:rFonts w:asciiTheme="majorBidi" w:eastAsia="Times New Roman" w:hAnsiTheme="majorBidi" w:cstheme="majorBidi"/>
                <w:sz w:val="24"/>
                <w:szCs w:val="24"/>
                <w:highlight w:val="yellow"/>
                <w:lang w:bidi="ar-BH"/>
              </w:rPr>
            </w:pPr>
            <w:r w:rsidRPr="00421D6F">
              <w:rPr>
                <w:rFonts w:asciiTheme="majorBidi" w:eastAsia="Times New Roman" w:hAnsiTheme="majorBidi" w:cstheme="majorBidi"/>
                <w:sz w:val="24"/>
                <w:szCs w:val="24"/>
                <w:lang w:bidi="ar-BH"/>
              </w:rPr>
              <w:t xml:space="preserve">Integrate human rights concepts into school curricula. It also recommends that the Emirates Schools Establishment include, in its core </w:t>
            </w:r>
            <w:r w:rsidR="008F1419" w:rsidRPr="00421D6F">
              <w:rPr>
                <w:rFonts w:asciiTheme="majorBidi" w:eastAsia="Times New Roman" w:hAnsiTheme="majorBidi" w:cstheme="majorBidi"/>
                <w:sz w:val="24"/>
                <w:szCs w:val="24"/>
                <w:lang w:bidi="ar-BH"/>
              </w:rPr>
              <w:t>functions, the</w:t>
            </w:r>
            <w:r w:rsidRPr="00421D6F">
              <w:rPr>
                <w:rFonts w:asciiTheme="majorBidi" w:eastAsia="Times New Roman" w:hAnsiTheme="majorBidi" w:cstheme="majorBidi"/>
                <w:sz w:val="24"/>
                <w:szCs w:val="24"/>
                <w:lang w:bidi="ar-BH"/>
              </w:rPr>
              <w:t xml:space="preserve"> goal of spreading a culture of human rights in schools through educational and training activities.</w:t>
            </w:r>
          </w:p>
          <w:p w14:paraId="7D052175" w14:textId="77777777" w:rsidR="00191601" w:rsidRPr="00421D6F" w:rsidRDefault="00191601" w:rsidP="007D0033">
            <w:pPr>
              <w:bidi w:val="0"/>
              <w:jc w:val="center"/>
              <w:rPr>
                <w:rFonts w:ascii="Simplified Arabic" w:eastAsia="Times New Roman" w:hAnsi="Simplified Arabic" w:cs="Simplified Arabic"/>
                <w:sz w:val="24"/>
                <w:szCs w:val="24"/>
                <w:highlight w:val="yellow"/>
                <w:rtl/>
                <w:lang w:bidi="ar-BH"/>
              </w:rPr>
            </w:pPr>
          </w:p>
        </w:tc>
        <w:tc>
          <w:tcPr>
            <w:tcW w:w="1985" w:type="dxa"/>
            <w:vAlign w:val="center"/>
          </w:tcPr>
          <w:p w14:paraId="48E18BDA" w14:textId="77777777" w:rsidR="00191601" w:rsidRPr="00421D6F" w:rsidRDefault="00191601" w:rsidP="007D0033">
            <w:pPr>
              <w:jc w:val="center"/>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Already implemented</w:t>
            </w:r>
          </w:p>
        </w:tc>
        <w:tc>
          <w:tcPr>
            <w:tcW w:w="5103" w:type="dxa"/>
            <w:vAlign w:val="center"/>
          </w:tcPr>
          <w:p w14:paraId="0FBEF7E6" w14:textId="77777777" w:rsidR="00191601" w:rsidRPr="00421D6F" w:rsidRDefault="00191601" w:rsidP="007D0033">
            <w:pPr>
              <w:numPr>
                <w:ilvl w:val="0"/>
                <w:numId w:val="7"/>
              </w:numPr>
              <w:tabs>
                <w:tab w:val="clear" w:pos="720"/>
                <w:tab w:val="num" w:pos="210"/>
              </w:tabs>
              <w:bidi w:val="0"/>
              <w:ind w:left="150" w:hanging="150"/>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The UAE has incorporated human rights concepts into its educational curricula. The Ministry of Education has worked to include these principles in schools, recognizing their importance in raising awareness of rights and responsibilities and enabling students to contribute effectively and responsibly to the development of their society. Subjects such as social studies and national studies include topics that highlight the importance of human rights, such as children’s rights, women’s rights, combating racial discrimination, and the principles of the Universal Declaration of Human Rights.</w:t>
            </w:r>
          </w:p>
          <w:p w14:paraId="2C38F3E5" w14:textId="77777777" w:rsidR="00191601" w:rsidRPr="00421D6F" w:rsidRDefault="00191601" w:rsidP="007D0033">
            <w:pPr>
              <w:numPr>
                <w:ilvl w:val="0"/>
                <w:numId w:val="7"/>
              </w:numPr>
              <w:tabs>
                <w:tab w:val="num" w:pos="210"/>
              </w:tabs>
              <w:bidi w:val="0"/>
              <w:ind w:left="150" w:hanging="150"/>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The Emirates School Education Foundation has also sought to promote a culture of human rights within the education system in the UAE. These efforts are reflected in the development of curricula that focus on values of tolerance, peaceful coexistence, and human rights, with the aim of preparing a generation that is conscious and equipped with advanced knowledge and skills. The Foundation has further launched initiatives such as the “Freejna School,” which aims to transform schools into community hubs that host a variety of activities.</w:t>
            </w:r>
          </w:p>
        </w:tc>
      </w:tr>
      <w:tr w:rsidR="00191601" w:rsidRPr="00421D6F" w14:paraId="175DF323" w14:textId="77777777" w:rsidTr="00C93156">
        <w:trPr>
          <w:gridAfter w:val="2"/>
          <w:wAfter w:w="13" w:type="dxa"/>
        </w:trPr>
        <w:tc>
          <w:tcPr>
            <w:tcW w:w="2945" w:type="dxa"/>
            <w:gridSpan w:val="2"/>
            <w:vAlign w:val="center"/>
          </w:tcPr>
          <w:p w14:paraId="092F96EE" w14:textId="77777777" w:rsidR="00191601" w:rsidRPr="00421D6F" w:rsidRDefault="00191601" w:rsidP="007D0033">
            <w:pPr>
              <w:shd w:val="clear" w:color="auto" w:fill="FFFFFF" w:themeFill="background1"/>
              <w:bidi w:val="0"/>
              <w:contextualSpacing/>
              <w:mirrorIndents/>
              <w:jc w:val="center"/>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114</w:t>
            </w:r>
          </w:p>
          <w:p w14:paraId="01BDEF46" w14:textId="77777777" w:rsidR="00191601" w:rsidRPr="00421D6F" w:rsidRDefault="00191601" w:rsidP="007D0033">
            <w:pPr>
              <w:shd w:val="clear" w:color="auto" w:fill="FFFFFF" w:themeFill="background1"/>
              <w:bidi w:val="0"/>
              <w:contextualSpacing/>
              <w:mirrorIndents/>
              <w:jc w:val="center"/>
              <w:rPr>
                <w:rFonts w:ascii="Simplified Arabic" w:eastAsia="Times New Roman" w:hAnsi="Simplified Arabic" w:cs="Simplified Arabic"/>
                <w:sz w:val="24"/>
                <w:szCs w:val="24"/>
                <w:highlight w:val="yellow"/>
                <w:rtl/>
                <w:lang w:bidi="ar-BH"/>
              </w:rPr>
            </w:pPr>
            <w:r w:rsidRPr="00421D6F">
              <w:rPr>
                <w:rFonts w:asciiTheme="majorBidi" w:eastAsia="Times New Roman" w:hAnsiTheme="majorBidi" w:cstheme="majorBidi"/>
                <w:sz w:val="24"/>
                <w:szCs w:val="24"/>
                <w:lang w:bidi="ar-BH"/>
              </w:rPr>
              <w:t xml:space="preserve">Widely disseminate the Arab Charter on Human </w:t>
            </w:r>
            <w:r w:rsidRPr="00421D6F">
              <w:rPr>
                <w:rFonts w:asciiTheme="majorBidi" w:eastAsia="Times New Roman" w:hAnsiTheme="majorBidi" w:cstheme="majorBidi"/>
                <w:sz w:val="24"/>
                <w:szCs w:val="24"/>
                <w:lang w:bidi="ar-BH"/>
              </w:rPr>
              <w:lastRenderedPageBreak/>
              <w:t>Rights, along with the report, concluding observations, and recommendations, among the judiciary, legislative and administrative authorities, non-governmental organizations operating in the country, and the general public.</w:t>
            </w:r>
          </w:p>
        </w:tc>
        <w:tc>
          <w:tcPr>
            <w:tcW w:w="1985" w:type="dxa"/>
            <w:vAlign w:val="center"/>
          </w:tcPr>
          <w:p w14:paraId="6E90F67E" w14:textId="77777777" w:rsidR="00191601" w:rsidRPr="00421D6F" w:rsidRDefault="00191601" w:rsidP="007D0033">
            <w:pPr>
              <w:bidi w:val="0"/>
              <w:jc w:val="center"/>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lastRenderedPageBreak/>
              <w:t>Partially implemented</w:t>
            </w:r>
          </w:p>
        </w:tc>
        <w:tc>
          <w:tcPr>
            <w:tcW w:w="5103" w:type="dxa"/>
            <w:vAlign w:val="center"/>
          </w:tcPr>
          <w:p w14:paraId="4A4D241B" w14:textId="77777777" w:rsidR="00191601" w:rsidRPr="00421D6F" w:rsidRDefault="00191601" w:rsidP="007D0033">
            <w:pPr>
              <w:numPr>
                <w:ilvl w:val="0"/>
                <w:numId w:val="7"/>
              </w:numPr>
              <w:tabs>
                <w:tab w:val="clear" w:pos="720"/>
                <w:tab w:val="num" w:pos="210"/>
              </w:tabs>
              <w:bidi w:val="0"/>
              <w:ind w:left="150" w:hanging="150"/>
              <w:jc w:val="lowKashida"/>
              <w:rPr>
                <w:rFonts w:asciiTheme="majorBidi" w:eastAsia="Times New Roman" w:hAnsiTheme="majorBidi" w:cstheme="majorBidi"/>
                <w:sz w:val="24"/>
                <w:szCs w:val="24"/>
                <w:lang w:bidi="ar-BH"/>
              </w:rPr>
            </w:pPr>
            <w:r w:rsidRPr="00421D6F">
              <w:rPr>
                <w:rFonts w:asciiTheme="majorBidi" w:eastAsia="Times New Roman" w:hAnsiTheme="majorBidi" w:cstheme="majorBidi"/>
                <w:sz w:val="24"/>
                <w:szCs w:val="24"/>
                <w:lang w:bidi="ar-BH"/>
              </w:rPr>
              <w:t xml:space="preserve">We propose that the Permanent Committee for Human Rights dedicate a page on its website to publish all materials related to the Arab Charter, </w:t>
            </w:r>
            <w:r w:rsidRPr="00421D6F">
              <w:rPr>
                <w:rFonts w:asciiTheme="majorBidi" w:eastAsia="Times New Roman" w:hAnsiTheme="majorBidi" w:cstheme="majorBidi"/>
                <w:sz w:val="24"/>
                <w:szCs w:val="24"/>
                <w:lang w:bidi="ar-BH"/>
              </w:rPr>
              <w:lastRenderedPageBreak/>
              <w:t>as well as the outcomes of sessions reviewing and discussing national reports.</w:t>
            </w:r>
          </w:p>
          <w:p w14:paraId="0C6EF29C" w14:textId="77777777" w:rsidR="00191601" w:rsidRPr="00421D6F" w:rsidRDefault="00191601" w:rsidP="007D0033">
            <w:pPr>
              <w:numPr>
                <w:ilvl w:val="0"/>
                <w:numId w:val="7"/>
              </w:numPr>
              <w:tabs>
                <w:tab w:val="clear" w:pos="720"/>
                <w:tab w:val="num" w:pos="210"/>
              </w:tabs>
              <w:bidi w:val="0"/>
              <w:ind w:left="150" w:hanging="150"/>
              <w:jc w:val="lowKashida"/>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As a public benefit association, we have received from the Permanent Committee for Human Rights copies of the Arab Charter on Human Rights, and the concluding observations and recommendations report along with the second national report.</w:t>
            </w:r>
          </w:p>
        </w:tc>
      </w:tr>
      <w:tr w:rsidR="00191601" w:rsidRPr="00421D6F" w14:paraId="571FBAF0" w14:textId="77777777" w:rsidTr="00C93156">
        <w:trPr>
          <w:gridAfter w:val="2"/>
          <w:wAfter w:w="13" w:type="dxa"/>
        </w:trPr>
        <w:tc>
          <w:tcPr>
            <w:tcW w:w="2945" w:type="dxa"/>
            <w:gridSpan w:val="2"/>
            <w:vAlign w:val="center"/>
          </w:tcPr>
          <w:p w14:paraId="0A453C7E" w14:textId="77777777" w:rsidR="00191601" w:rsidRPr="00421D6F" w:rsidRDefault="00191601" w:rsidP="007D0033">
            <w:pPr>
              <w:bidi w:val="0"/>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lastRenderedPageBreak/>
              <w:t>115</w:t>
            </w:r>
          </w:p>
          <w:p w14:paraId="1D2E58C9" w14:textId="77777777" w:rsidR="00191601" w:rsidRPr="00421D6F" w:rsidRDefault="00191601" w:rsidP="007D0033">
            <w:pPr>
              <w:bidi w:val="0"/>
              <w:jc w:val="center"/>
              <w:rPr>
                <w:rFonts w:asciiTheme="majorBidi" w:eastAsia="Times New Roman" w:hAnsiTheme="majorBidi" w:cstheme="majorBidi"/>
                <w:sz w:val="24"/>
                <w:szCs w:val="24"/>
                <w:highlight w:val="yellow"/>
                <w:rtl/>
                <w:lang w:bidi="ar-BH"/>
              </w:rPr>
            </w:pPr>
            <w:r w:rsidRPr="00421D6F">
              <w:rPr>
                <w:rFonts w:asciiTheme="majorBidi" w:eastAsia="Times New Roman" w:hAnsiTheme="majorBidi" w:cstheme="majorBidi"/>
                <w:sz w:val="24"/>
                <w:szCs w:val="24"/>
                <w:lang w:bidi="ar-BH"/>
              </w:rPr>
              <w:t>Establish the National Human Rights Institution in accordance with the Paris Principles, and expedite the preparation of a comprehensive national plan to reinforce and protect human rights.</w:t>
            </w:r>
          </w:p>
        </w:tc>
        <w:tc>
          <w:tcPr>
            <w:tcW w:w="1985" w:type="dxa"/>
            <w:vAlign w:val="center"/>
          </w:tcPr>
          <w:p w14:paraId="1610D48A" w14:textId="77777777" w:rsidR="00191601" w:rsidRPr="00421D6F" w:rsidRDefault="00191601" w:rsidP="007D0033">
            <w:pPr>
              <w:bidi w:val="0"/>
              <w:jc w:val="center"/>
              <w:rPr>
                <w:rFonts w:asciiTheme="majorBidi" w:eastAsia="Times New Roman" w:hAnsiTheme="majorBidi" w:cstheme="majorBidi"/>
                <w:sz w:val="24"/>
                <w:szCs w:val="24"/>
                <w:highlight w:val="yellow"/>
                <w:rtl/>
                <w:lang w:bidi="ar-BH"/>
              </w:rPr>
            </w:pPr>
            <w:r w:rsidRPr="00421D6F">
              <w:rPr>
                <w:rFonts w:asciiTheme="majorBidi" w:eastAsia="Times New Roman" w:hAnsiTheme="majorBidi" w:cstheme="majorBidi"/>
                <w:sz w:val="24"/>
                <w:szCs w:val="24"/>
                <w:lang w:bidi="ar-BH"/>
              </w:rPr>
              <w:t>Duplicate recommendation</w:t>
            </w:r>
          </w:p>
        </w:tc>
        <w:tc>
          <w:tcPr>
            <w:tcW w:w="5103" w:type="dxa"/>
            <w:vAlign w:val="center"/>
          </w:tcPr>
          <w:p w14:paraId="1EB66A7B" w14:textId="77777777" w:rsidR="00191601" w:rsidRPr="00421D6F" w:rsidRDefault="00191601" w:rsidP="007D0033">
            <w:pPr>
              <w:jc w:val="center"/>
              <w:rPr>
                <w:rFonts w:asciiTheme="majorBidi" w:eastAsia="Times New Roman" w:hAnsiTheme="majorBidi" w:cstheme="majorBidi"/>
                <w:i/>
                <w:iCs/>
                <w:sz w:val="24"/>
                <w:szCs w:val="24"/>
                <w:rtl/>
                <w:lang w:bidi="ar-BH"/>
              </w:rPr>
            </w:pPr>
            <w:r w:rsidRPr="00421D6F">
              <w:rPr>
                <w:rFonts w:asciiTheme="majorBidi" w:eastAsia="Times New Roman" w:hAnsiTheme="majorBidi" w:cstheme="majorBidi"/>
                <w:i/>
                <w:iCs/>
                <w:sz w:val="24"/>
                <w:szCs w:val="24"/>
                <w:lang w:bidi="ar-BH"/>
              </w:rPr>
              <w:t>(Refer to Recommendations No. 16 and 18 in the table above.)</w:t>
            </w:r>
          </w:p>
        </w:tc>
      </w:tr>
      <w:tr w:rsidR="00191601" w:rsidRPr="00421D6F" w14:paraId="2B6BBFA8" w14:textId="77777777" w:rsidTr="00C93156">
        <w:trPr>
          <w:gridAfter w:val="2"/>
          <w:wAfter w:w="13" w:type="dxa"/>
        </w:trPr>
        <w:tc>
          <w:tcPr>
            <w:tcW w:w="2945" w:type="dxa"/>
            <w:gridSpan w:val="2"/>
            <w:vAlign w:val="center"/>
          </w:tcPr>
          <w:p w14:paraId="77536340" w14:textId="77777777" w:rsidR="00191601" w:rsidRPr="00421D6F" w:rsidRDefault="00191601" w:rsidP="007D0033">
            <w:pPr>
              <w:bidi w:val="0"/>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t>117</w:t>
            </w:r>
          </w:p>
          <w:p w14:paraId="551374D3" w14:textId="77777777" w:rsidR="00191601" w:rsidRPr="00421D6F" w:rsidRDefault="00191601" w:rsidP="007D0033">
            <w:pPr>
              <w:bidi w:val="0"/>
              <w:jc w:val="center"/>
              <w:rPr>
                <w:rFonts w:asciiTheme="majorBidi" w:eastAsia="Times New Roman" w:hAnsiTheme="majorBidi" w:cstheme="majorBidi"/>
                <w:sz w:val="24"/>
                <w:szCs w:val="24"/>
                <w:highlight w:val="yellow"/>
                <w:rtl/>
                <w:lang w:bidi="ar-BH"/>
              </w:rPr>
            </w:pPr>
            <w:r w:rsidRPr="00421D6F">
              <w:rPr>
                <w:rFonts w:asciiTheme="majorBidi" w:eastAsia="Times New Roman" w:hAnsiTheme="majorBidi" w:cstheme="majorBidi"/>
                <w:sz w:val="24"/>
                <w:szCs w:val="24"/>
                <w:lang w:bidi="ar-BH"/>
              </w:rPr>
              <w:t>Include in the second periodic report specific and up-to-date information about the implementation of all the Committee’s recommendations, as well as about the rights and freedoms set out in the Charter.</w:t>
            </w:r>
          </w:p>
        </w:tc>
        <w:tc>
          <w:tcPr>
            <w:tcW w:w="1985" w:type="dxa"/>
            <w:vAlign w:val="center"/>
          </w:tcPr>
          <w:p w14:paraId="6675B61D" w14:textId="77777777" w:rsidR="00191601" w:rsidRPr="00421D6F" w:rsidRDefault="00191601" w:rsidP="007D0033">
            <w:pPr>
              <w:jc w:val="center"/>
              <w:rPr>
                <w:rFonts w:ascii="Simplified Arabic" w:eastAsia="Times New Roman" w:hAnsi="Simplified Arabic" w:cs="Simplified Arabic"/>
                <w:sz w:val="24"/>
                <w:szCs w:val="24"/>
                <w:lang w:bidi="ar-BH"/>
              </w:rPr>
            </w:pPr>
            <w:r w:rsidRPr="00421D6F">
              <w:rPr>
                <w:rFonts w:asciiTheme="majorBidi" w:eastAsia="Times New Roman" w:hAnsiTheme="majorBidi" w:cstheme="majorBidi"/>
                <w:sz w:val="24"/>
                <w:szCs w:val="24"/>
                <w:lang w:bidi="ar-BH"/>
              </w:rPr>
              <w:t>Implemented</w:t>
            </w:r>
          </w:p>
          <w:p w14:paraId="4CD87337" w14:textId="77777777" w:rsidR="00191601" w:rsidRPr="00421D6F" w:rsidRDefault="00191601" w:rsidP="007D0033">
            <w:pPr>
              <w:jc w:val="center"/>
              <w:rPr>
                <w:rFonts w:ascii="Simplified Arabic" w:eastAsia="Times New Roman" w:hAnsi="Simplified Arabic" w:cs="Simplified Arabic"/>
                <w:sz w:val="24"/>
                <w:szCs w:val="24"/>
                <w:highlight w:val="yellow"/>
                <w:rtl/>
                <w:lang w:bidi="ar-BH"/>
              </w:rPr>
            </w:pPr>
          </w:p>
        </w:tc>
        <w:tc>
          <w:tcPr>
            <w:tcW w:w="5103" w:type="dxa"/>
            <w:vAlign w:val="center"/>
          </w:tcPr>
          <w:p w14:paraId="26C8E86A" w14:textId="77777777" w:rsidR="00191601" w:rsidRPr="00421D6F" w:rsidRDefault="00191601" w:rsidP="007D0033">
            <w:pPr>
              <w:bidi w:val="0"/>
              <w:rPr>
                <w:rFonts w:asciiTheme="majorBidi" w:hAnsiTheme="majorBidi" w:cstheme="majorBidi"/>
                <w:sz w:val="24"/>
                <w:szCs w:val="24"/>
              </w:rPr>
            </w:pPr>
            <w:r w:rsidRPr="00421D6F">
              <w:rPr>
                <w:rFonts w:asciiTheme="majorBidi" w:hAnsiTheme="majorBidi" w:cstheme="majorBidi"/>
                <w:sz w:val="24"/>
                <w:szCs w:val="24"/>
              </w:rPr>
              <w:t>In its second periodic national report, the country included specific, up-to-date, and comprehensive information on all the recommendations made, demonstrating its strong commitment to highlighting its efforts and engagement with the Arab Charter on Human Rights, as well as its implementation of the Committee’s recommendations.</w:t>
            </w:r>
          </w:p>
          <w:p w14:paraId="0488DF69" w14:textId="77777777" w:rsidR="00191601" w:rsidRPr="00421D6F" w:rsidRDefault="00191601" w:rsidP="007D0033">
            <w:pPr>
              <w:bidi w:val="0"/>
              <w:rPr>
                <w:rFonts w:asciiTheme="majorBidi" w:hAnsiTheme="majorBidi" w:cstheme="majorBidi"/>
                <w:sz w:val="24"/>
                <w:szCs w:val="24"/>
              </w:rPr>
            </w:pPr>
            <w:r w:rsidRPr="00421D6F">
              <w:rPr>
                <w:rFonts w:asciiTheme="majorBidi" w:hAnsiTheme="majorBidi" w:cstheme="majorBidi"/>
                <w:sz w:val="24"/>
                <w:szCs w:val="24"/>
              </w:rPr>
              <w:t>The delay in implementing certain recommendations on time was due to external circumstances arising from the repercussions of the COVID-19 pandemic. Accordingly, we suggest that the Arab Charter on Human Rights Committee consider linking recommendations to exceptions in cases of extraordinary circumstances.</w:t>
            </w:r>
          </w:p>
          <w:p w14:paraId="11EF7BC4" w14:textId="77777777" w:rsidR="00191601" w:rsidRPr="00421D6F" w:rsidRDefault="00191601" w:rsidP="007D0033">
            <w:pPr>
              <w:bidi w:val="0"/>
              <w:rPr>
                <w:rFonts w:ascii="Simplified Arabic" w:eastAsia="Times New Roman" w:hAnsi="Simplified Arabic" w:cs="Simplified Arabic"/>
                <w:sz w:val="24"/>
                <w:szCs w:val="24"/>
                <w:highlight w:val="yellow"/>
                <w:rtl/>
                <w:lang w:bidi="ar-BH"/>
              </w:rPr>
            </w:pPr>
          </w:p>
        </w:tc>
      </w:tr>
      <w:tr w:rsidR="00191601" w:rsidRPr="00421D6F" w14:paraId="42EC0E11" w14:textId="77777777" w:rsidTr="00C93156">
        <w:trPr>
          <w:gridAfter w:val="2"/>
          <w:wAfter w:w="13" w:type="dxa"/>
        </w:trPr>
        <w:tc>
          <w:tcPr>
            <w:tcW w:w="2945" w:type="dxa"/>
            <w:gridSpan w:val="2"/>
            <w:vAlign w:val="center"/>
          </w:tcPr>
          <w:p w14:paraId="5FA4655F" w14:textId="77777777" w:rsidR="00191601" w:rsidRPr="00421D6F" w:rsidRDefault="00191601" w:rsidP="007D0033">
            <w:pPr>
              <w:bidi w:val="0"/>
              <w:jc w:val="center"/>
              <w:rPr>
                <w:rFonts w:ascii="Simplified Arabic" w:eastAsia="Times New Roman" w:hAnsi="Simplified Arabic" w:cs="Simplified Arabic"/>
                <w:sz w:val="24"/>
                <w:szCs w:val="24"/>
                <w:lang w:bidi="ar-BH"/>
              </w:rPr>
            </w:pPr>
            <w:r w:rsidRPr="00421D6F">
              <w:rPr>
                <w:rFonts w:ascii="Simplified Arabic" w:eastAsia="Times New Roman" w:hAnsi="Simplified Arabic" w:cs="Simplified Arabic"/>
                <w:sz w:val="24"/>
                <w:szCs w:val="24"/>
                <w:lang w:bidi="ar-BH"/>
              </w:rPr>
              <w:t>118</w:t>
            </w:r>
          </w:p>
          <w:p w14:paraId="40D1E972" w14:textId="77777777" w:rsidR="00191601" w:rsidRPr="00421D6F" w:rsidRDefault="00191601" w:rsidP="007D0033">
            <w:pPr>
              <w:bidi w:val="0"/>
              <w:jc w:val="center"/>
              <w:rPr>
                <w:rFonts w:asciiTheme="majorBidi" w:eastAsia="Times New Roman" w:hAnsiTheme="majorBidi" w:cstheme="majorBidi"/>
                <w:sz w:val="24"/>
                <w:szCs w:val="24"/>
                <w:highlight w:val="yellow"/>
                <w:lang w:bidi="ar-BH"/>
              </w:rPr>
            </w:pPr>
            <w:r w:rsidRPr="00421D6F">
              <w:rPr>
                <w:rFonts w:asciiTheme="majorBidi" w:eastAsia="Times New Roman" w:hAnsiTheme="majorBidi" w:cstheme="majorBidi"/>
                <w:sz w:val="24"/>
                <w:szCs w:val="24"/>
                <w:lang w:bidi="ar-BH"/>
              </w:rPr>
              <w:t>Strengthen consultations related to the preparation of the second periodic report.</w:t>
            </w:r>
          </w:p>
        </w:tc>
        <w:tc>
          <w:tcPr>
            <w:tcW w:w="1985" w:type="dxa"/>
            <w:vAlign w:val="center"/>
          </w:tcPr>
          <w:p w14:paraId="4FF57E86" w14:textId="77777777" w:rsidR="00191601" w:rsidRPr="00421D6F" w:rsidRDefault="00191601" w:rsidP="007D0033">
            <w:pPr>
              <w:jc w:val="center"/>
              <w:rPr>
                <w:rFonts w:ascii="Simplified Arabic" w:eastAsia="Times New Roman" w:hAnsi="Simplified Arabic" w:cs="Simplified Arabic"/>
                <w:sz w:val="24"/>
                <w:szCs w:val="24"/>
                <w:rtl/>
                <w:lang w:bidi="ar-BH"/>
              </w:rPr>
            </w:pPr>
            <w:r w:rsidRPr="00421D6F">
              <w:rPr>
                <w:rFonts w:asciiTheme="majorBidi" w:eastAsia="Times New Roman" w:hAnsiTheme="majorBidi" w:cstheme="majorBidi"/>
                <w:sz w:val="24"/>
                <w:szCs w:val="24"/>
                <w:lang w:bidi="ar-BH"/>
              </w:rPr>
              <w:t>Implemented</w:t>
            </w:r>
          </w:p>
        </w:tc>
        <w:tc>
          <w:tcPr>
            <w:tcW w:w="5103" w:type="dxa"/>
            <w:vAlign w:val="center"/>
          </w:tcPr>
          <w:p w14:paraId="1803B8CB" w14:textId="77777777" w:rsidR="00191601" w:rsidRPr="00421D6F" w:rsidRDefault="00191601" w:rsidP="007D0033">
            <w:pPr>
              <w:bidi w:val="0"/>
              <w:rPr>
                <w:rFonts w:asciiTheme="majorBidi" w:hAnsiTheme="majorBidi" w:cstheme="majorBidi"/>
                <w:sz w:val="24"/>
                <w:szCs w:val="24"/>
                <w:lang w:bidi="ar-BH"/>
              </w:rPr>
            </w:pPr>
            <w:r w:rsidRPr="00421D6F">
              <w:rPr>
                <w:rFonts w:asciiTheme="majorBidi" w:hAnsiTheme="majorBidi" w:cstheme="majorBidi"/>
                <w:sz w:val="24"/>
                <w:szCs w:val="24"/>
                <w:lang w:bidi="ar-BH"/>
              </w:rPr>
              <w:t>The Ministry of Foreign Affairs and the Permanent Committee for Human Rights placed great emphasis on strengthening their partnership with numerous civil society institutions in preparing the second periodic national report. We were provided with a draft of the report and given the opportunity to provide feedback on it.</w:t>
            </w:r>
          </w:p>
          <w:p w14:paraId="61D4FC9D" w14:textId="77777777" w:rsidR="00191601" w:rsidRPr="00421D6F" w:rsidRDefault="00191601" w:rsidP="007D0033">
            <w:pPr>
              <w:bidi w:val="0"/>
              <w:rPr>
                <w:rFonts w:asciiTheme="majorBidi" w:hAnsiTheme="majorBidi" w:cstheme="majorBidi"/>
                <w:sz w:val="24"/>
                <w:szCs w:val="24"/>
                <w:rtl/>
                <w:lang w:bidi="ar-BH"/>
              </w:rPr>
            </w:pPr>
            <w:r w:rsidRPr="00421D6F">
              <w:rPr>
                <w:rFonts w:asciiTheme="majorBidi" w:hAnsiTheme="majorBidi" w:cstheme="majorBidi"/>
                <w:sz w:val="24"/>
                <w:szCs w:val="24"/>
                <w:lang w:bidi="ar-BH"/>
              </w:rPr>
              <w:t xml:space="preserve">We propose that the Permanent Committee for Human Rights develop a formal implementation plan for the recommendations, ensuring the participation of civil society institutions at every </w:t>
            </w:r>
            <w:r w:rsidRPr="00421D6F">
              <w:rPr>
                <w:rFonts w:asciiTheme="majorBidi" w:hAnsiTheme="majorBidi" w:cstheme="majorBidi"/>
                <w:sz w:val="24"/>
                <w:szCs w:val="24"/>
                <w:lang w:bidi="ar-BH"/>
              </w:rPr>
              <w:lastRenderedPageBreak/>
              <w:t>stage of preparing and submitting national human rights reports.</w:t>
            </w:r>
          </w:p>
        </w:tc>
      </w:tr>
    </w:tbl>
    <w:p w14:paraId="74E485C1" w14:textId="77777777" w:rsidR="00191601" w:rsidRPr="00421D6F" w:rsidRDefault="00191601" w:rsidP="00191601">
      <w:pPr>
        <w:ind w:left="-280" w:right="-142"/>
        <w:rPr>
          <w:rFonts w:ascii="Simplified Arabic" w:eastAsia="Times New Roman" w:hAnsi="Simplified Arabic" w:cs="Simplified Arabic"/>
          <w:sz w:val="24"/>
          <w:szCs w:val="24"/>
          <w:highlight w:val="yellow"/>
          <w:rtl/>
          <w:lang w:bidi="ar-BH"/>
        </w:rPr>
      </w:pPr>
    </w:p>
    <w:p w14:paraId="7DEC264F" w14:textId="77777777" w:rsidR="00191601" w:rsidRPr="00421D6F" w:rsidRDefault="00191601" w:rsidP="00191601">
      <w:pPr>
        <w:rPr>
          <w:rFonts w:ascii="Simplified Arabic" w:eastAsia="Times New Roman" w:hAnsi="Simplified Arabic" w:cs="Simplified Arabic"/>
          <w:sz w:val="24"/>
          <w:szCs w:val="24"/>
          <w:highlight w:val="yellow"/>
          <w:rtl/>
          <w:lang w:bidi="ar-BH"/>
        </w:rPr>
      </w:pPr>
      <w:r w:rsidRPr="00421D6F">
        <w:rPr>
          <w:rFonts w:ascii="Simplified Arabic" w:eastAsia="Times New Roman" w:hAnsi="Simplified Arabic" w:cs="Simplified Arabic"/>
          <w:sz w:val="24"/>
          <w:szCs w:val="24"/>
          <w:highlight w:val="yellow"/>
          <w:rtl/>
          <w:lang w:bidi="ar-BH"/>
        </w:rPr>
        <w:br w:type="page"/>
      </w:r>
    </w:p>
    <w:p w14:paraId="6786A5CC" w14:textId="77777777" w:rsidR="00191601" w:rsidRPr="00421D6F" w:rsidRDefault="00191601" w:rsidP="00191601">
      <w:pPr>
        <w:ind w:left="-280" w:right="-142"/>
        <w:rPr>
          <w:rFonts w:ascii="Simplified Arabic" w:eastAsia="Times New Roman" w:hAnsi="Simplified Arabic" w:cs="Simplified Arabic"/>
          <w:b/>
          <w:bCs/>
          <w:sz w:val="28"/>
          <w:szCs w:val="28"/>
          <w:highlight w:val="yellow"/>
          <w:rtl/>
          <w:lang w:bidi="ar-BH"/>
        </w:rPr>
      </w:pPr>
    </w:p>
    <w:p w14:paraId="3393821D"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b/>
          <w:bCs/>
          <w:sz w:val="24"/>
          <w:szCs w:val="24"/>
          <w:u w:val="single"/>
          <w:lang w:bidi="ar-BH"/>
        </w:rPr>
      </w:pPr>
      <w:r w:rsidRPr="00421D6F">
        <w:rPr>
          <w:rFonts w:asciiTheme="majorBidi" w:eastAsia="Times New Roman" w:hAnsiTheme="majorBidi" w:cstheme="majorBidi"/>
          <w:b/>
          <w:bCs/>
          <w:sz w:val="24"/>
          <w:szCs w:val="24"/>
          <w:u w:val="single"/>
          <w:lang w:bidi="ar-BH"/>
        </w:rPr>
        <w:t>Conclusion:</w:t>
      </w:r>
    </w:p>
    <w:p w14:paraId="3CF367CE"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As we submit this report to the Arab Charter on Human Rights Committee of the League of Arab States, we are pleased that it contributes to shedding light on the human rights situation in the UAE. It also complements the extensive efforts of various state agencies, national bodies, and civil society institutions that have actively undertaken their role in monitoring and assessing the country’s initiatives and achievements in the field of human rights.</w:t>
      </w:r>
    </w:p>
    <w:p w14:paraId="60E2186F"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The structured and methodical work presented in this report reflects the scale of efforts, dedication, and commitment to the highest standards of credibility, transparency, and independence. Its purpose is to provide an accurate picture of the human rights situation, along with all the initiatives undertaken by the country in this field.</w:t>
      </w:r>
    </w:p>
    <w:p w14:paraId="5CD048EB"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We hope that this report, with its comprehensive content, conforms to the standards and guidelines set by the esteemed Charter Committee and the Permanent Committee for Human Rights, and that it further strengthens the UAE’s human rights journey, which began with its founding in 1971 under the visionary leadership of the late Sheikh Zayed bin Sultan Al Nahyan (may God rest his soul in eternal peace).</w:t>
      </w:r>
    </w:p>
    <w:p w14:paraId="3D8A3D1B"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We extend our sincere gratitude to the Arab Charter on Human Rights Committee, represented by its Chairman, His Excellency Counselor Jaber Al-Marri, as well as to all its members, advisors, and the secretariat, for their outstanding efforts in elevating the value and standing of the Arab Charter on Human Rights and in strengthening states’ commitment to its texts, values, principles, and provisions</w:t>
      </w:r>
      <w:r w:rsidRPr="00421D6F">
        <w:rPr>
          <w:rFonts w:asciiTheme="majorBidi" w:eastAsia="Times New Roman" w:hAnsiTheme="majorBidi" w:cstheme="majorBidi"/>
          <w:sz w:val="24"/>
          <w:szCs w:val="24"/>
          <w:rtl/>
          <w:lang w:bidi="ar-BH"/>
        </w:rPr>
        <w:t>.</w:t>
      </w:r>
    </w:p>
    <w:p w14:paraId="7B571790"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While we affirm the importance of the Arab Charter in advancing the Arab human rights process through instruments that safeguard these rights, we highly value the dedication and commitment of the Charter Committee in supporting mechanisms that uphold human rights across the member states of the League of Arab States; most notably the mechanism for submitting, reviewing, and discussing national reports on states’ compliance with the Arab Charter on Human Rights.</w:t>
      </w:r>
    </w:p>
    <w:p w14:paraId="572FD896" w14:textId="77777777" w:rsidR="00191601" w:rsidRPr="00421D6F" w:rsidRDefault="00191601" w:rsidP="00191601">
      <w:pPr>
        <w:bidi w:val="0"/>
        <w:spacing w:before="100" w:beforeAutospacing="1" w:after="100" w:afterAutospacing="1"/>
        <w:ind w:left="-274" w:right="-446"/>
        <w:rPr>
          <w:rFonts w:asciiTheme="majorBidi" w:eastAsia="Times New Roman" w:hAnsiTheme="majorBidi" w:cstheme="majorBidi"/>
          <w:sz w:val="24"/>
          <w:szCs w:val="24"/>
          <w:rtl/>
          <w:lang w:bidi="ar-BH"/>
        </w:rPr>
      </w:pPr>
      <w:r w:rsidRPr="00421D6F">
        <w:rPr>
          <w:rFonts w:asciiTheme="majorBidi" w:eastAsia="Times New Roman" w:hAnsiTheme="majorBidi" w:cstheme="majorBidi"/>
          <w:sz w:val="24"/>
          <w:szCs w:val="24"/>
          <w:lang w:bidi="ar-BH"/>
        </w:rPr>
        <w:t>We also would like to express our deep appreciation to the Ministry of Foreign Affairs and the Permanent Committee for Human Rights in the UAE for their commitment to empowering civil society institutions, promoting their active participation in the field of human rights, and strengthening their role and contributions within national, regional, and international bodies and mechanisms concerned with human rights.</w:t>
      </w:r>
    </w:p>
    <w:p w14:paraId="6194D446" w14:textId="77777777" w:rsidR="00191601" w:rsidRPr="00421D6F" w:rsidRDefault="00191601" w:rsidP="00191601">
      <w:pPr>
        <w:ind w:left="-730" w:right="-450"/>
        <w:rPr>
          <w:rFonts w:ascii="Simplified Arabic" w:eastAsia="Times New Roman" w:hAnsi="Simplified Arabic" w:cs="Simplified Arabic"/>
          <w:sz w:val="24"/>
          <w:szCs w:val="24"/>
          <w:rtl/>
          <w:lang w:bidi="ar-BH"/>
        </w:rPr>
      </w:pPr>
    </w:p>
    <w:p w14:paraId="4E183254" w14:textId="77777777" w:rsidR="00191601" w:rsidRPr="00421D6F" w:rsidRDefault="00191601" w:rsidP="00191601">
      <w:pPr>
        <w:bidi w:val="0"/>
        <w:ind w:left="-730" w:right="-450"/>
        <w:rPr>
          <w:rFonts w:ascii="Times New Roman" w:eastAsia="Times New Roman" w:hAnsi="Times New Roman" w:cs="Times New Roman"/>
          <w:b/>
          <w:bCs/>
          <w:sz w:val="24"/>
          <w:szCs w:val="24"/>
          <w:rtl/>
          <w:lang w:bidi="ar-BH"/>
        </w:rPr>
      </w:pPr>
    </w:p>
    <w:p w14:paraId="3F319981" w14:textId="77777777" w:rsidR="005C5773" w:rsidRPr="00421D6F" w:rsidRDefault="005C5773" w:rsidP="005C5773">
      <w:pPr>
        <w:bidi w:val="0"/>
        <w:rPr>
          <w:rFonts w:ascii="Times New Roman" w:hAnsi="Times New Roman" w:cs="Times New Roman"/>
        </w:rPr>
      </w:pPr>
    </w:p>
    <w:sectPr w:rsidR="005C5773" w:rsidRPr="00421D6F" w:rsidSect="00CA4849">
      <w:headerReference w:type="default" r:id="rId29"/>
      <w:footerReference w:type="default" r:id="rId30"/>
      <w:headerReference w:type="first" r:id="rId31"/>
      <w:pgSz w:w="11906" w:h="16838" w:code="9"/>
      <w:pgMar w:top="2160" w:right="1368" w:bottom="1296" w:left="1368" w:header="864"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5C65D" w14:textId="77777777" w:rsidR="00512F26" w:rsidRDefault="00512F26">
      <w:r>
        <w:separator/>
      </w:r>
    </w:p>
  </w:endnote>
  <w:endnote w:type="continuationSeparator" w:id="0">
    <w:p w14:paraId="336AFD2C" w14:textId="77777777" w:rsidR="00512F26" w:rsidRDefault="00512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5AF0E" w14:textId="77777777" w:rsidR="00103866" w:rsidRPr="005E7BBF" w:rsidRDefault="00000000" w:rsidP="005C5773">
    <w:pPr>
      <w:pStyle w:val="Footer"/>
      <w:bidi w:val="0"/>
      <w:jc w:val="center"/>
      <w:rPr>
        <w:caps/>
        <w:sz w:val="24"/>
        <w:szCs w:val="24"/>
      </w:rPr>
    </w:pPr>
    <w:r w:rsidRPr="005E7BBF">
      <w:rPr>
        <w:caps/>
        <w:sz w:val="24"/>
        <w:szCs w:val="24"/>
      </w:rPr>
      <w:fldChar w:fldCharType="begin"/>
    </w:r>
    <w:r w:rsidRPr="005E7BBF">
      <w:rPr>
        <w:caps/>
        <w:sz w:val="24"/>
        <w:szCs w:val="24"/>
      </w:rPr>
      <w:instrText>PAGE   \* MERGEFORMAT</w:instrText>
    </w:r>
    <w:r w:rsidRPr="005E7BBF">
      <w:rPr>
        <w:caps/>
        <w:sz w:val="24"/>
        <w:szCs w:val="24"/>
      </w:rPr>
      <w:fldChar w:fldCharType="separate"/>
    </w:r>
    <w:r w:rsidR="00F21EC6" w:rsidRPr="00F21EC6">
      <w:rPr>
        <w:caps/>
        <w:noProof/>
        <w:sz w:val="24"/>
        <w:szCs w:val="24"/>
        <w:lang w:val="en-GB"/>
      </w:rPr>
      <w:t>20</w:t>
    </w:r>
    <w:r w:rsidRPr="005E7BBF">
      <w:rPr>
        <w:caps/>
        <w:sz w:val="24"/>
        <w:szCs w:val="24"/>
      </w:rPr>
      <w:fldChar w:fldCharType="end"/>
    </w:r>
  </w:p>
  <w:p w14:paraId="3F49931D" w14:textId="77777777" w:rsidR="00103866" w:rsidRDefault="00103866">
    <w:pPr>
      <w:pStyle w:val="Footer"/>
      <w:rPr>
        <w:lang w:bidi="ar-B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ED481" w14:textId="77777777" w:rsidR="00512F26" w:rsidRDefault="00512F26">
      <w:r>
        <w:separator/>
      </w:r>
    </w:p>
  </w:footnote>
  <w:footnote w:type="continuationSeparator" w:id="0">
    <w:p w14:paraId="6FE575C4" w14:textId="77777777" w:rsidR="00512F26" w:rsidRDefault="00512F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D498F" w14:textId="77777777" w:rsidR="00103866" w:rsidRDefault="00000000" w:rsidP="00576CC0">
    <w:pPr>
      <w:pStyle w:val="Header"/>
      <w:tabs>
        <w:tab w:val="left" w:pos="6564"/>
      </w:tabs>
      <w:rPr>
        <w:noProof/>
        <w:rtl/>
      </w:rPr>
    </w:pPr>
    <w:r>
      <w:rPr>
        <w:noProof/>
      </w:rPr>
      <w:drawing>
        <wp:anchor distT="0" distB="0" distL="114300" distR="114300" simplePos="0" relativeHeight="251659264" behindDoc="1" locked="0" layoutInCell="1" allowOverlap="1" wp14:anchorId="11A05FA3" wp14:editId="50819E85">
          <wp:simplePos x="0" y="0"/>
          <wp:positionH relativeFrom="column">
            <wp:posOffset>-868680</wp:posOffset>
          </wp:positionH>
          <wp:positionV relativeFrom="paragraph">
            <wp:posOffset>-764117</wp:posOffset>
          </wp:positionV>
          <wp:extent cx="7563462" cy="10902950"/>
          <wp:effectExtent l="0" t="0" r="0" b="0"/>
          <wp:wrapNone/>
          <wp:docPr id="5652515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251501" name="Picture 250244446"/>
                  <pic:cNvPicPr/>
                </pic:nvPicPr>
                <pic:blipFill>
                  <a:blip r:embed="rId1">
                    <a:extLst>
                      <a:ext uri="{28A0092B-C50C-407E-A947-70E740481C1C}">
                        <a14:useLocalDpi xmlns:a14="http://schemas.microsoft.com/office/drawing/2010/main" val="0"/>
                      </a:ext>
                    </a:extLst>
                  </a:blip>
                  <a:stretch>
                    <a:fillRect/>
                  </a:stretch>
                </pic:blipFill>
                <pic:spPr>
                  <a:xfrm>
                    <a:off x="0" y="0"/>
                    <a:ext cx="7563462" cy="10902950"/>
                  </a:xfrm>
                  <a:prstGeom prst="rect">
                    <a:avLst/>
                  </a:prstGeom>
                </pic:spPr>
              </pic:pic>
            </a:graphicData>
          </a:graphic>
          <wp14:sizeRelH relativeFrom="page">
            <wp14:pctWidth>0</wp14:pctWidth>
          </wp14:sizeRelH>
          <wp14:sizeRelV relativeFrom="page">
            <wp14:pctHeight>0</wp14:pctHeight>
          </wp14:sizeRelV>
        </wp:anchor>
      </w:drawing>
    </w:r>
  </w:p>
  <w:p w14:paraId="318BE045" w14:textId="77777777" w:rsidR="00103866" w:rsidRDefault="00103866" w:rsidP="00576CC0">
    <w:pPr>
      <w:pStyle w:val="Header"/>
      <w:tabs>
        <w:tab w:val="left" w:pos="6564"/>
      </w:tabs>
      <w:rPr>
        <w:noProof/>
      </w:rPr>
    </w:pPr>
  </w:p>
  <w:p w14:paraId="5E279181" w14:textId="77777777" w:rsidR="00103866" w:rsidRDefault="00000000" w:rsidP="00576CC0">
    <w:pPr>
      <w:pStyle w:val="Header"/>
      <w:tabs>
        <w:tab w:val="left" w:pos="1574"/>
      </w:tabs>
      <w:rPr>
        <w:noProof/>
      </w:rPr>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D5996" w14:textId="77777777" w:rsidR="00103866" w:rsidRPr="00EC67B0" w:rsidRDefault="00000000" w:rsidP="00576CC0">
    <w:pPr>
      <w:tabs>
        <w:tab w:val="left" w:pos="3563"/>
      </w:tabs>
      <w:rPr>
        <w:noProof/>
        <w:lang w:bidi="ar-BH"/>
      </w:rPr>
    </w:pPr>
    <w:r>
      <w:rPr>
        <w:noProof/>
      </w:rPr>
      <w:drawing>
        <wp:anchor distT="0" distB="0" distL="114300" distR="114300" simplePos="0" relativeHeight="251658240" behindDoc="1" locked="0" layoutInCell="1" allowOverlap="1" wp14:anchorId="17AB37E6" wp14:editId="1E8C3565">
          <wp:simplePos x="0" y="0"/>
          <wp:positionH relativeFrom="column">
            <wp:posOffset>-868680</wp:posOffset>
          </wp:positionH>
          <wp:positionV relativeFrom="paragraph">
            <wp:posOffset>-628980</wp:posOffset>
          </wp:positionV>
          <wp:extent cx="7550730" cy="10639857"/>
          <wp:effectExtent l="0" t="0" r="0" b="0"/>
          <wp:wrapNone/>
          <wp:docPr id="296048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048635" name="Picture 250244446"/>
                  <pic:cNvPicPr/>
                </pic:nvPicPr>
                <pic:blipFill>
                  <a:blip r:embed="rId1">
                    <a:extLst>
                      <a:ext uri="{28A0092B-C50C-407E-A947-70E740481C1C}">
                        <a14:useLocalDpi xmlns:a14="http://schemas.microsoft.com/office/drawing/2010/main" val="0"/>
                      </a:ext>
                    </a:extLst>
                  </a:blip>
                  <a:stretch>
                    <a:fillRect/>
                  </a:stretch>
                </pic:blipFill>
                <pic:spPr>
                  <a:xfrm>
                    <a:off x="0" y="0"/>
                    <a:ext cx="7550730" cy="10639857"/>
                  </a:xfrm>
                  <a:prstGeom prst="rect">
                    <a:avLst/>
                  </a:prstGeom>
                </pic:spPr>
              </pic:pic>
            </a:graphicData>
          </a:graphic>
          <wp14:sizeRelH relativeFrom="page">
            <wp14:pctWidth>0</wp14:pctWidth>
          </wp14:sizeRelH>
          <wp14:sizeRelV relativeFrom="page">
            <wp14:pctHeight>0</wp14:pctHeight>
          </wp14:sizeRelV>
        </wp:anchor>
      </w:drawing>
    </w:r>
    <w:r>
      <w:rPr>
        <w:noProof/>
      </w:rPr>
      <w:tab/>
    </w:r>
  </w:p>
  <w:p w14:paraId="34528ECF" w14:textId="77777777" w:rsidR="00103866" w:rsidRPr="00C22BB6" w:rsidRDefault="00000000" w:rsidP="00576CC0">
    <w:pPr>
      <w:tabs>
        <w:tab w:val="left" w:pos="1457"/>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E01E3"/>
    <w:multiLevelType w:val="hybridMultilevel"/>
    <w:tmpl w:val="03C86E08"/>
    <w:lvl w:ilvl="0" w:tplc="D65057E4">
      <w:start w:val="1"/>
      <w:numFmt w:val="bullet"/>
      <w:lvlText w:val="o"/>
      <w:lvlJc w:val="left"/>
      <w:pPr>
        <w:ind w:left="720" w:hanging="360"/>
      </w:pPr>
      <w:rPr>
        <w:rFonts w:ascii="Courier New" w:hAnsi="Courier New" w:cs="Courier New" w:hint="default"/>
      </w:rPr>
    </w:lvl>
    <w:lvl w:ilvl="1" w:tplc="55ECC956">
      <w:start w:val="1"/>
      <w:numFmt w:val="decimal"/>
      <w:lvlText w:val="%2."/>
      <w:lvlJc w:val="left"/>
      <w:pPr>
        <w:ind w:left="1440" w:hanging="360"/>
      </w:pPr>
      <w:rPr>
        <w:rFonts w:hint="default"/>
      </w:rPr>
    </w:lvl>
    <w:lvl w:ilvl="2" w:tplc="8F424CF0" w:tentative="1">
      <w:start w:val="1"/>
      <w:numFmt w:val="lowerRoman"/>
      <w:lvlText w:val="%3."/>
      <w:lvlJc w:val="right"/>
      <w:pPr>
        <w:ind w:left="2160" w:hanging="180"/>
      </w:pPr>
    </w:lvl>
    <w:lvl w:ilvl="3" w:tplc="F88A53A0" w:tentative="1">
      <w:start w:val="1"/>
      <w:numFmt w:val="decimal"/>
      <w:lvlText w:val="%4."/>
      <w:lvlJc w:val="left"/>
      <w:pPr>
        <w:ind w:left="2880" w:hanging="360"/>
      </w:pPr>
    </w:lvl>
    <w:lvl w:ilvl="4" w:tplc="96B05380" w:tentative="1">
      <w:start w:val="1"/>
      <w:numFmt w:val="lowerLetter"/>
      <w:lvlText w:val="%5."/>
      <w:lvlJc w:val="left"/>
      <w:pPr>
        <w:ind w:left="3600" w:hanging="360"/>
      </w:pPr>
    </w:lvl>
    <w:lvl w:ilvl="5" w:tplc="AC3A9C3E" w:tentative="1">
      <w:start w:val="1"/>
      <w:numFmt w:val="lowerRoman"/>
      <w:lvlText w:val="%6."/>
      <w:lvlJc w:val="right"/>
      <w:pPr>
        <w:ind w:left="4320" w:hanging="180"/>
      </w:pPr>
    </w:lvl>
    <w:lvl w:ilvl="6" w:tplc="6BBA2844" w:tentative="1">
      <w:start w:val="1"/>
      <w:numFmt w:val="decimal"/>
      <w:lvlText w:val="%7."/>
      <w:lvlJc w:val="left"/>
      <w:pPr>
        <w:ind w:left="5040" w:hanging="360"/>
      </w:pPr>
    </w:lvl>
    <w:lvl w:ilvl="7" w:tplc="1BEA4FA4" w:tentative="1">
      <w:start w:val="1"/>
      <w:numFmt w:val="lowerLetter"/>
      <w:lvlText w:val="%8."/>
      <w:lvlJc w:val="left"/>
      <w:pPr>
        <w:ind w:left="5760" w:hanging="360"/>
      </w:pPr>
    </w:lvl>
    <w:lvl w:ilvl="8" w:tplc="D68EC0E6" w:tentative="1">
      <w:start w:val="1"/>
      <w:numFmt w:val="lowerRoman"/>
      <w:lvlText w:val="%9."/>
      <w:lvlJc w:val="right"/>
      <w:pPr>
        <w:ind w:left="6480" w:hanging="180"/>
      </w:pPr>
    </w:lvl>
  </w:abstractNum>
  <w:abstractNum w:abstractNumId="1" w15:restartNumberingAfterBreak="0">
    <w:nsid w:val="04D16E35"/>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5E5AD8"/>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4325D5"/>
    <w:multiLevelType w:val="hybridMultilevel"/>
    <w:tmpl w:val="41D297A6"/>
    <w:lvl w:ilvl="0" w:tplc="9F4A4F02">
      <w:start w:val="1"/>
      <w:numFmt w:val="decimal"/>
      <w:lvlText w:val="%1-"/>
      <w:lvlJc w:val="left"/>
      <w:pPr>
        <w:ind w:left="720" w:hanging="360"/>
      </w:pPr>
      <w:rPr>
        <w:rFonts w:hint="default"/>
      </w:rPr>
    </w:lvl>
    <w:lvl w:ilvl="1" w:tplc="5FCC8E80">
      <w:start w:val="1"/>
      <w:numFmt w:val="decimal"/>
      <w:lvlText w:val="%2."/>
      <w:lvlJc w:val="left"/>
      <w:pPr>
        <w:ind w:left="1440" w:hanging="360"/>
      </w:pPr>
      <w:rPr>
        <w:rFonts w:hint="default"/>
      </w:rPr>
    </w:lvl>
    <w:lvl w:ilvl="2" w:tplc="2E908F78" w:tentative="1">
      <w:start w:val="1"/>
      <w:numFmt w:val="lowerRoman"/>
      <w:lvlText w:val="%3."/>
      <w:lvlJc w:val="right"/>
      <w:pPr>
        <w:ind w:left="2160" w:hanging="180"/>
      </w:pPr>
    </w:lvl>
    <w:lvl w:ilvl="3" w:tplc="7592FBE8" w:tentative="1">
      <w:start w:val="1"/>
      <w:numFmt w:val="decimal"/>
      <w:lvlText w:val="%4."/>
      <w:lvlJc w:val="left"/>
      <w:pPr>
        <w:ind w:left="2880" w:hanging="360"/>
      </w:pPr>
    </w:lvl>
    <w:lvl w:ilvl="4" w:tplc="7554A93A" w:tentative="1">
      <w:start w:val="1"/>
      <w:numFmt w:val="lowerLetter"/>
      <w:lvlText w:val="%5."/>
      <w:lvlJc w:val="left"/>
      <w:pPr>
        <w:ind w:left="3600" w:hanging="360"/>
      </w:pPr>
    </w:lvl>
    <w:lvl w:ilvl="5" w:tplc="9AECC4C2" w:tentative="1">
      <w:start w:val="1"/>
      <w:numFmt w:val="lowerRoman"/>
      <w:lvlText w:val="%6."/>
      <w:lvlJc w:val="right"/>
      <w:pPr>
        <w:ind w:left="4320" w:hanging="180"/>
      </w:pPr>
    </w:lvl>
    <w:lvl w:ilvl="6" w:tplc="B9265CE2" w:tentative="1">
      <w:start w:val="1"/>
      <w:numFmt w:val="decimal"/>
      <w:lvlText w:val="%7."/>
      <w:lvlJc w:val="left"/>
      <w:pPr>
        <w:ind w:left="5040" w:hanging="360"/>
      </w:pPr>
    </w:lvl>
    <w:lvl w:ilvl="7" w:tplc="C5C6DC4A" w:tentative="1">
      <w:start w:val="1"/>
      <w:numFmt w:val="lowerLetter"/>
      <w:lvlText w:val="%8."/>
      <w:lvlJc w:val="left"/>
      <w:pPr>
        <w:ind w:left="5760" w:hanging="360"/>
      </w:pPr>
    </w:lvl>
    <w:lvl w:ilvl="8" w:tplc="A2FADEA6" w:tentative="1">
      <w:start w:val="1"/>
      <w:numFmt w:val="lowerRoman"/>
      <w:lvlText w:val="%9."/>
      <w:lvlJc w:val="right"/>
      <w:pPr>
        <w:ind w:left="6480" w:hanging="180"/>
      </w:pPr>
    </w:lvl>
  </w:abstractNum>
  <w:abstractNum w:abstractNumId="4" w15:restartNumberingAfterBreak="0">
    <w:nsid w:val="08491BC7"/>
    <w:multiLevelType w:val="hybridMultilevel"/>
    <w:tmpl w:val="8A0A357C"/>
    <w:lvl w:ilvl="0" w:tplc="7EB41C3A">
      <w:start w:val="1"/>
      <w:numFmt w:val="bullet"/>
      <w:lvlText w:val="o"/>
      <w:lvlJc w:val="left"/>
      <w:pPr>
        <w:ind w:left="4279" w:hanging="360"/>
      </w:pPr>
      <w:rPr>
        <w:rFonts w:ascii="Courier New" w:hAnsi="Courier New" w:cs="Courier New" w:hint="default"/>
      </w:rPr>
    </w:lvl>
    <w:lvl w:ilvl="1" w:tplc="2DDE2C2A">
      <w:start w:val="1"/>
      <w:numFmt w:val="bullet"/>
      <w:lvlText w:val="o"/>
      <w:lvlJc w:val="left"/>
      <w:pPr>
        <w:ind w:left="2240" w:hanging="360"/>
      </w:pPr>
      <w:rPr>
        <w:rFonts w:ascii="Courier New" w:hAnsi="Courier New" w:cs="Courier New" w:hint="default"/>
      </w:rPr>
    </w:lvl>
    <w:lvl w:ilvl="2" w:tplc="AF106ACE" w:tentative="1">
      <w:start w:val="1"/>
      <w:numFmt w:val="bullet"/>
      <w:lvlText w:val=""/>
      <w:lvlJc w:val="left"/>
      <w:pPr>
        <w:ind w:left="2960" w:hanging="360"/>
      </w:pPr>
      <w:rPr>
        <w:rFonts w:ascii="Wingdings" w:hAnsi="Wingdings" w:hint="default"/>
      </w:rPr>
    </w:lvl>
    <w:lvl w:ilvl="3" w:tplc="E25EDDFC" w:tentative="1">
      <w:start w:val="1"/>
      <w:numFmt w:val="bullet"/>
      <w:lvlText w:val=""/>
      <w:lvlJc w:val="left"/>
      <w:pPr>
        <w:ind w:left="3680" w:hanging="360"/>
      </w:pPr>
      <w:rPr>
        <w:rFonts w:ascii="Symbol" w:hAnsi="Symbol" w:hint="default"/>
      </w:rPr>
    </w:lvl>
    <w:lvl w:ilvl="4" w:tplc="C3E0E964" w:tentative="1">
      <w:start w:val="1"/>
      <w:numFmt w:val="bullet"/>
      <w:lvlText w:val="o"/>
      <w:lvlJc w:val="left"/>
      <w:pPr>
        <w:ind w:left="4400" w:hanging="360"/>
      </w:pPr>
      <w:rPr>
        <w:rFonts w:ascii="Courier New" w:hAnsi="Courier New" w:cs="Courier New" w:hint="default"/>
      </w:rPr>
    </w:lvl>
    <w:lvl w:ilvl="5" w:tplc="36826E64" w:tentative="1">
      <w:start w:val="1"/>
      <w:numFmt w:val="bullet"/>
      <w:lvlText w:val=""/>
      <w:lvlJc w:val="left"/>
      <w:pPr>
        <w:ind w:left="5120" w:hanging="360"/>
      </w:pPr>
      <w:rPr>
        <w:rFonts w:ascii="Wingdings" w:hAnsi="Wingdings" w:hint="default"/>
      </w:rPr>
    </w:lvl>
    <w:lvl w:ilvl="6" w:tplc="5C56C972" w:tentative="1">
      <w:start w:val="1"/>
      <w:numFmt w:val="bullet"/>
      <w:lvlText w:val=""/>
      <w:lvlJc w:val="left"/>
      <w:pPr>
        <w:ind w:left="5840" w:hanging="360"/>
      </w:pPr>
      <w:rPr>
        <w:rFonts w:ascii="Symbol" w:hAnsi="Symbol" w:hint="default"/>
      </w:rPr>
    </w:lvl>
    <w:lvl w:ilvl="7" w:tplc="AC08229C" w:tentative="1">
      <w:start w:val="1"/>
      <w:numFmt w:val="bullet"/>
      <w:lvlText w:val="o"/>
      <w:lvlJc w:val="left"/>
      <w:pPr>
        <w:ind w:left="6560" w:hanging="360"/>
      </w:pPr>
      <w:rPr>
        <w:rFonts w:ascii="Courier New" w:hAnsi="Courier New" w:cs="Courier New" w:hint="default"/>
      </w:rPr>
    </w:lvl>
    <w:lvl w:ilvl="8" w:tplc="074062A4" w:tentative="1">
      <w:start w:val="1"/>
      <w:numFmt w:val="bullet"/>
      <w:lvlText w:val=""/>
      <w:lvlJc w:val="left"/>
      <w:pPr>
        <w:ind w:left="7280" w:hanging="360"/>
      </w:pPr>
      <w:rPr>
        <w:rFonts w:ascii="Wingdings" w:hAnsi="Wingdings" w:hint="default"/>
      </w:rPr>
    </w:lvl>
  </w:abstractNum>
  <w:abstractNum w:abstractNumId="5" w15:restartNumberingAfterBreak="0">
    <w:nsid w:val="0A0A5A35"/>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494663"/>
    <w:multiLevelType w:val="hybridMultilevel"/>
    <w:tmpl w:val="1C345CA4"/>
    <w:lvl w:ilvl="0" w:tplc="75465F7A">
      <w:start w:val="1"/>
      <w:numFmt w:val="bullet"/>
      <w:lvlText w:val="o"/>
      <w:lvlJc w:val="left"/>
      <w:pPr>
        <w:ind w:left="3479" w:hanging="360"/>
      </w:pPr>
      <w:rPr>
        <w:rFonts w:ascii="Courier New" w:hAnsi="Courier New" w:cs="Courier New" w:hint="default"/>
      </w:rPr>
    </w:lvl>
    <w:lvl w:ilvl="1" w:tplc="50F2E270">
      <w:start w:val="1"/>
      <w:numFmt w:val="bullet"/>
      <w:lvlText w:val="o"/>
      <w:lvlJc w:val="left"/>
      <w:pPr>
        <w:ind w:left="1821" w:hanging="360"/>
      </w:pPr>
      <w:rPr>
        <w:rFonts w:ascii="Courier New" w:hAnsi="Courier New" w:cs="Courier New" w:hint="default"/>
      </w:rPr>
    </w:lvl>
    <w:lvl w:ilvl="2" w:tplc="63007A14">
      <w:start w:val="1"/>
      <w:numFmt w:val="bullet"/>
      <w:lvlText w:val=""/>
      <w:lvlJc w:val="left"/>
      <w:pPr>
        <w:ind w:left="2541" w:hanging="360"/>
      </w:pPr>
      <w:rPr>
        <w:rFonts w:ascii="Wingdings" w:hAnsi="Wingdings" w:hint="default"/>
      </w:rPr>
    </w:lvl>
    <w:lvl w:ilvl="3" w:tplc="B96254B0">
      <w:start w:val="1"/>
      <w:numFmt w:val="bullet"/>
      <w:lvlText w:val=""/>
      <w:lvlJc w:val="left"/>
      <w:pPr>
        <w:ind w:left="3261" w:hanging="360"/>
      </w:pPr>
      <w:rPr>
        <w:rFonts w:ascii="Symbol" w:hAnsi="Symbol" w:hint="default"/>
      </w:rPr>
    </w:lvl>
    <w:lvl w:ilvl="4" w:tplc="48F2C61A">
      <w:start w:val="1"/>
      <w:numFmt w:val="bullet"/>
      <w:lvlText w:val="o"/>
      <w:lvlJc w:val="left"/>
      <w:pPr>
        <w:ind w:left="3981" w:hanging="360"/>
      </w:pPr>
      <w:rPr>
        <w:rFonts w:ascii="Courier New" w:hAnsi="Courier New" w:cs="Courier New" w:hint="default"/>
      </w:rPr>
    </w:lvl>
    <w:lvl w:ilvl="5" w:tplc="46EE9082">
      <w:start w:val="1"/>
      <w:numFmt w:val="bullet"/>
      <w:lvlText w:val=""/>
      <w:lvlJc w:val="left"/>
      <w:pPr>
        <w:ind w:left="4701" w:hanging="360"/>
      </w:pPr>
      <w:rPr>
        <w:rFonts w:ascii="Wingdings" w:hAnsi="Wingdings" w:hint="default"/>
      </w:rPr>
    </w:lvl>
    <w:lvl w:ilvl="6" w:tplc="300E1A1C" w:tentative="1">
      <w:start w:val="1"/>
      <w:numFmt w:val="bullet"/>
      <w:lvlText w:val=""/>
      <w:lvlJc w:val="left"/>
      <w:pPr>
        <w:ind w:left="5421" w:hanging="360"/>
      </w:pPr>
      <w:rPr>
        <w:rFonts w:ascii="Symbol" w:hAnsi="Symbol" w:hint="default"/>
      </w:rPr>
    </w:lvl>
    <w:lvl w:ilvl="7" w:tplc="14EC0A78" w:tentative="1">
      <w:start w:val="1"/>
      <w:numFmt w:val="bullet"/>
      <w:lvlText w:val="o"/>
      <w:lvlJc w:val="left"/>
      <w:pPr>
        <w:ind w:left="6141" w:hanging="360"/>
      </w:pPr>
      <w:rPr>
        <w:rFonts w:ascii="Courier New" w:hAnsi="Courier New" w:cs="Courier New" w:hint="default"/>
      </w:rPr>
    </w:lvl>
    <w:lvl w:ilvl="8" w:tplc="FE083418" w:tentative="1">
      <w:start w:val="1"/>
      <w:numFmt w:val="bullet"/>
      <w:lvlText w:val=""/>
      <w:lvlJc w:val="left"/>
      <w:pPr>
        <w:ind w:left="6861" w:hanging="360"/>
      </w:pPr>
      <w:rPr>
        <w:rFonts w:ascii="Wingdings" w:hAnsi="Wingdings" w:hint="default"/>
      </w:rPr>
    </w:lvl>
  </w:abstractNum>
  <w:abstractNum w:abstractNumId="7" w15:restartNumberingAfterBreak="0">
    <w:nsid w:val="0B4450C3"/>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582A27"/>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19123F1"/>
    <w:multiLevelType w:val="hybridMultilevel"/>
    <w:tmpl w:val="FFD896B8"/>
    <w:lvl w:ilvl="0" w:tplc="2DEC3058">
      <w:start w:val="1"/>
      <w:numFmt w:val="decimal"/>
      <w:lvlText w:val="%1-"/>
      <w:lvlJc w:val="left"/>
      <w:pPr>
        <w:ind w:left="720" w:hanging="360"/>
      </w:pPr>
      <w:rPr>
        <w:rFonts w:hint="default"/>
      </w:rPr>
    </w:lvl>
    <w:lvl w:ilvl="1" w:tplc="12409560" w:tentative="1">
      <w:start w:val="1"/>
      <w:numFmt w:val="lowerLetter"/>
      <w:lvlText w:val="%2."/>
      <w:lvlJc w:val="left"/>
      <w:pPr>
        <w:ind w:left="1440" w:hanging="360"/>
      </w:pPr>
    </w:lvl>
    <w:lvl w:ilvl="2" w:tplc="FD262174" w:tentative="1">
      <w:start w:val="1"/>
      <w:numFmt w:val="lowerRoman"/>
      <w:lvlText w:val="%3."/>
      <w:lvlJc w:val="right"/>
      <w:pPr>
        <w:ind w:left="2160" w:hanging="180"/>
      </w:pPr>
    </w:lvl>
    <w:lvl w:ilvl="3" w:tplc="B73C0BD6" w:tentative="1">
      <w:start w:val="1"/>
      <w:numFmt w:val="decimal"/>
      <w:lvlText w:val="%4."/>
      <w:lvlJc w:val="left"/>
      <w:pPr>
        <w:ind w:left="2880" w:hanging="360"/>
      </w:pPr>
    </w:lvl>
    <w:lvl w:ilvl="4" w:tplc="57747A1E" w:tentative="1">
      <w:start w:val="1"/>
      <w:numFmt w:val="lowerLetter"/>
      <w:lvlText w:val="%5."/>
      <w:lvlJc w:val="left"/>
      <w:pPr>
        <w:ind w:left="3600" w:hanging="360"/>
      </w:pPr>
    </w:lvl>
    <w:lvl w:ilvl="5" w:tplc="448E74B4" w:tentative="1">
      <w:start w:val="1"/>
      <w:numFmt w:val="lowerRoman"/>
      <w:lvlText w:val="%6."/>
      <w:lvlJc w:val="right"/>
      <w:pPr>
        <w:ind w:left="4320" w:hanging="180"/>
      </w:pPr>
    </w:lvl>
    <w:lvl w:ilvl="6" w:tplc="9F4CA52E" w:tentative="1">
      <w:start w:val="1"/>
      <w:numFmt w:val="decimal"/>
      <w:lvlText w:val="%7."/>
      <w:lvlJc w:val="left"/>
      <w:pPr>
        <w:ind w:left="5040" w:hanging="360"/>
      </w:pPr>
    </w:lvl>
    <w:lvl w:ilvl="7" w:tplc="7736E7C8" w:tentative="1">
      <w:start w:val="1"/>
      <w:numFmt w:val="lowerLetter"/>
      <w:lvlText w:val="%8."/>
      <w:lvlJc w:val="left"/>
      <w:pPr>
        <w:ind w:left="5760" w:hanging="360"/>
      </w:pPr>
    </w:lvl>
    <w:lvl w:ilvl="8" w:tplc="9D74E38A" w:tentative="1">
      <w:start w:val="1"/>
      <w:numFmt w:val="lowerRoman"/>
      <w:lvlText w:val="%9."/>
      <w:lvlJc w:val="right"/>
      <w:pPr>
        <w:ind w:left="6480" w:hanging="180"/>
      </w:pPr>
    </w:lvl>
  </w:abstractNum>
  <w:abstractNum w:abstractNumId="10" w15:restartNumberingAfterBreak="0">
    <w:nsid w:val="15F62801"/>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AE34F0"/>
    <w:multiLevelType w:val="multilevel"/>
    <w:tmpl w:val="48CAF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024A16"/>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AD024A"/>
    <w:multiLevelType w:val="multilevel"/>
    <w:tmpl w:val="8670D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A4035C"/>
    <w:multiLevelType w:val="hybridMultilevel"/>
    <w:tmpl w:val="8A3249BA"/>
    <w:lvl w:ilvl="0" w:tplc="CF98B7A0">
      <w:start w:val="1"/>
      <w:numFmt w:val="bullet"/>
      <w:lvlText w:val=""/>
      <w:lvlJc w:val="left"/>
      <w:pPr>
        <w:ind w:left="3479" w:hanging="360"/>
      </w:pPr>
      <w:rPr>
        <w:rFonts w:ascii="Symbol" w:hAnsi="Symbol" w:hint="default"/>
      </w:rPr>
    </w:lvl>
    <w:lvl w:ilvl="1" w:tplc="E438C9F4">
      <w:start w:val="1"/>
      <w:numFmt w:val="bullet"/>
      <w:lvlText w:val="o"/>
      <w:lvlJc w:val="left"/>
      <w:pPr>
        <w:ind w:left="1821" w:hanging="360"/>
      </w:pPr>
      <w:rPr>
        <w:rFonts w:ascii="Courier New" w:hAnsi="Courier New" w:cs="Courier New" w:hint="default"/>
      </w:rPr>
    </w:lvl>
    <w:lvl w:ilvl="2" w:tplc="1234B6BC">
      <w:start w:val="1"/>
      <w:numFmt w:val="bullet"/>
      <w:lvlText w:val=""/>
      <w:lvlJc w:val="left"/>
      <w:pPr>
        <w:ind w:left="2541" w:hanging="360"/>
      </w:pPr>
      <w:rPr>
        <w:rFonts w:ascii="Wingdings" w:hAnsi="Wingdings" w:hint="default"/>
      </w:rPr>
    </w:lvl>
    <w:lvl w:ilvl="3" w:tplc="C3AE638E">
      <w:start w:val="1"/>
      <w:numFmt w:val="bullet"/>
      <w:lvlText w:val=""/>
      <w:lvlJc w:val="left"/>
      <w:pPr>
        <w:ind w:left="3261" w:hanging="360"/>
      </w:pPr>
      <w:rPr>
        <w:rFonts w:ascii="Symbol" w:hAnsi="Symbol" w:hint="default"/>
      </w:rPr>
    </w:lvl>
    <w:lvl w:ilvl="4" w:tplc="A1108050">
      <w:start w:val="1"/>
      <w:numFmt w:val="bullet"/>
      <w:lvlText w:val="o"/>
      <w:lvlJc w:val="left"/>
      <w:pPr>
        <w:ind w:left="3981" w:hanging="360"/>
      </w:pPr>
      <w:rPr>
        <w:rFonts w:ascii="Courier New" w:hAnsi="Courier New" w:cs="Courier New" w:hint="default"/>
      </w:rPr>
    </w:lvl>
    <w:lvl w:ilvl="5" w:tplc="0A1E68EE">
      <w:start w:val="1"/>
      <w:numFmt w:val="bullet"/>
      <w:lvlText w:val=""/>
      <w:lvlJc w:val="left"/>
      <w:pPr>
        <w:ind w:left="4701" w:hanging="360"/>
      </w:pPr>
      <w:rPr>
        <w:rFonts w:ascii="Wingdings" w:hAnsi="Wingdings" w:hint="default"/>
      </w:rPr>
    </w:lvl>
    <w:lvl w:ilvl="6" w:tplc="FF5E58CC" w:tentative="1">
      <w:start w:val="1"/>
      <w:numFmt w:val="bullet"/>
      <w:lvlText w:val=""/>
      <w:lvlJc w:val="left"/>
      <w:pPr>
        <w:ind w:left="5421" w:hanging="360"/>
      </w:pPr>
      <w:rPr>
        <w:rFonts w:ascii="Symbol" w:hAnsi="Symbol" w:hint="default"/>
      </w:rPr>
    </w:lvl>
    <w:lvl w:ilvl="7" w:tplc="F640B76E" w:tentative="1">
      <w:start w:val="1"/>
      <w:numFmt w:val="bullet"/>
      <w:lvlText w:val="o"/>
      <w:lvlJc w:val="left"/>
      <w:pPr>
        <w:ind w:left="6141" w:hanging="360"/>
      </w:pPr>
      <w:rPr>
        <w:rFonts w:ascii="Courier New" w:hAnsi="Courier New" w:cs="Courier New" w:hint="default"/>
      </w:rPr>
    </w:lvl>
    <w:lvl w:ilvl="8" w:tplc="8D1C12F2" w:tentative="1">
      <w:start w:val="1"/>
      <w:numFmt w:val="bullet"/>
      <w:lvlText w:val=""/>
      <w:lvlJc w:val="left"/>
      <w:pPr>
        <w:ind w:left="6861" w:hanging="360"/>
      </w:pPr>
      <w:rPr>
        <w:rFonts w:ascii="Wingdings" w:hAnsi="Wingdings" w:hint="default"/>
      </w:rPr>
    </w:lvl>
  </w:abstractNum>
  <w:abstractNum w:abstractNumId="15" w15:restartNumberingAfterBreak="0">
    <w:nsid w:val="28DC2942"/>
    <w:multiLevelType w:val="hybridMultilevel"/>
    <w:tmpl w:val="05E0E5BE"/>
    <w:lvl w:ilvl="0" w:tplc="A5D0AE4C">
      <w:start w:val="1"/>
      <w:numFmt w:val="bullet"/>
      <w:lvlText w:val=""/>
      <w:lvlJc w:val="left"/>
      <w:pPr>
        <w:ind w:left="967" w:hanging="360"/>
      </w:pPr>
      <w:rPr>
        <w:rFonts w:ascii="Symbol" w:hAnsi="Symbol" w:hint="default"/>
      </w:rPr>
    </w:lvl>
    <w:lvl w:ilvl="1" w:tplc="32683E44" w:tentative="1">
      <w:start w:val="1"/>
      <w:numFmt w:val="bullet"/>
      <w:lvlText w:val="o"/>
      <w:lvlJc w:val="left"/>
      <w:pPr>
        <w:ind w:left="1687" w:hanging="360"/>
      </w:pPr>
      <w:rPr>
        <w:rFonts w:ascii="Courier New" w:hAnsi="Courier New" w:cs="Courier New" w:hint="default"/>
      </w:rPr>
    </w:lvl>
    <w:lvl w:ilvl="2" w:tplc="2ED61364" w:tentative="1">
      <w:start w:val="1"/>
      <w:numFmt w:val="bullet"/>
      <w:lvlText w:val=""/>
      <w:lvlJc w:val="left"/>
      <w:pPr>
        <w:ind w:left="2407" w:hanging="360"/>
      </w:pPr>
      <w:rPr>
        <w:rFonts w:ascii="Wingdings" w:hAnsi="Wingdings" w:hint="default"/>
      </w:rPr>
    </w:lvl>
    <w:lvl w:ilvl="3" w:tplc="243A1418" w:tentative="1">
      <w:start w:val="1"/>
      <w:numFmt w:val="bullet"/>
      <w:lvlText w:val=""/>
      <w:lvlJc w:val="left"/>
      <w:pPr>
        <w:ind w:left="3127" w:hanging="360"/>
      </w:pPr>
      <w:rPr>
        <w:rFonts w:ascii="Symbol" w:hAnsi="Symbol" w:hint="default"/>
      </w:rPr>
    </w:lvl>
    <w:lvl w:ilvl="4" w:tplc="40FA1EBE" w:tentative="1">
      <w:start w:val="1"/>
      <w:numFmt w:val="bullet"/>
      <w:lvlText w:val="o"/>
      <w:lvlJc w:val="left"/>
      <w:pPr>
        <w:ind w:left="3847" w:hanging="360"/>
      </w:pPr>
      <w:rPr>
        <w:rFonts w:ascii="Courier New" w:hAnsi="Courier New" w:cs="Courier New" w:hint="default"/>
      </w:rPr>
    </w:lvl>
    <w:lvl w:ilvl="5" w:tplc="DCFC380E" w:tentative="1">
      <w:start w:val="1"/>
      <w:numFmt w:val="bullet"/>
      <w:lvlText w:val=""/>
      <w:lvlJc w:val="left"/>
      <w:pPr>
        <w:ind w:left="4567" w:hanging="360"/>
      </w:pPr>
      <w:rPr>
        <w:rFonts w:ascii="Wingdings" w:hAnsi="Wingdings" w:hint="default"/>
      </w:rPr>
    </w:lvl>
    <w:lvl w:ilvl="6" w:tplc="C81A3C4E" w:tentative="1">
      <w:start w:val="1"/>
      <w:numFmt w:val="bullet"/>
      <w:lvlText w:val=""/>
      <w:lvlJc w:val="left"/>
      <w:pPr>
        <w:ind w:left="5287" w:hanging="360"/>
      </w:pPr>
      <w:rPr>
        <w:rFonts w:ascii="Symbol" w:hAnsi="Symbol" w:hint="default"/>
      </w:rPr>
    </w:lvl>
    <w:lvl w:ilvl="7" w:tplc="C7C430BC" w:tentative="1">
      <w:start w:val="1"/>
      <w:numFmt w:val="bullet"/>
      <w:lvlText w:val="o"/>
      <w:lvlJc w:val="left"/>
      <w:pPr>
        <w:ind w:left="6007" w:hanging="360"/>
      </w:pPr>
      <w:rPr>
        <w:rFonts w:ascii="Courier New" w:hAnsi="Courier New" w:cs="Courier New" w:hint="default"/>
      </w:rPr>
    </w:lvl>
    <w:lvl w:ilvl="8" w:tplc="FF5E7D82" w:tentative="1">
      <w:start w:val="1"/>
      <w:numFmt w:val="bullet"/>
      <w:lvlText w:val=""/>
      <w:lvlJc w:val="left"/>
      <w:pPr>
        <w:ind w:left="6727" w:hanging="360"/>
      </w:pPr>
      <w:rPr>
        <w:rFonts w:ascii="Wingdings" w:hAnsi="Wingdings" w:hint="default"/>
      </w:rPr>
    </w:lvl>
  </w:abstractNum>
  <w:abstractNum w:abstractNumId="16" w15:restartNumberingAfterBreak="0">
    <w:nsid w:val="34100891"/>
    <w:multiLevelType w:val="multilevel"/>
    <w:tmpl w:val="99BA0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45C6867"/>
    <w:multiLevelType w:val="multilevel"/>
    <w:tmpl w:val="ECB0A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3C4D48"/>
    <w:multiLevelType w:val="hybridMultilevel"/>
    <w:tmpl w:val="259E82EC"/>
    <w:lvl w:ilvl="0" w:tplc="2A544BC6">
      <w:start w:val="1"/>
      <w:numFmt w:val="decimal"/>
      <w:lvlText w:val="%1."/>
      <w:lvlJc w:val="left"/>
      <w:pPr>
        <w:ind w:left="720" w:hanging="360"/>
      </w:pPr>
    </w:lvl>
    <w:lvl w:ilvl="1" w:tplc="59E4E54A" w:tentative="1">
      <w:start w:val="1"/>
      <w:numFmt w:val="lowerLetter"/>
      <w:lvlText w:val="%2."/>
      <w:lvlJc w:val="left"/>
      <w:pPr>
        <w:ind w:left="1440" w:hanging="360"/>
      </w:pPr>
    </w:lvl>
    <w:lvl w:ilvl="2" w:tplc="DE24BB3C" w:tentative="1">
      <w:start w:val="1"/>
      <w:numFmt w:val="lowerRoman"/>
      <w:lvlText w:val="%3."/>
      <w:lvlJc w:val="right"/>
      <w:pPr>
        <w:ind w:left="2160" w:hanging="180"/>
      </w:pPr>
    </w:lvl>
    <w:lvl w:ilvl="3" w:tplc="9B1C254A" w:tentative="1">
      <w:start w:val="1"/>
      <w:numFmt w:val="decimal"/>
      <w:lvlText w:val="%4."/>
      <w:lvlJc w:val="left"/>
      <w:pPr>
        <w:ind w:left="2880" w:hanging="360"/>
      </w:pPr>
    </w:lvl>
    <w:lvl w:ilvl="4" w:tplc="E43094B4" w:tentative="1">
      <w:start w:val="1"/>
      <w:numFmt w:val="lowerLetter"/>
      <w:lvlText w:val="%5."/>
      <w:lvlJc w:val="left"/>
      <w:pPr>
        <w:ind w:left="3600" w:hanging="360"/>
      </w:pPr>
    </w:lvl>
    <w:lvl w:ilvl="5" w:tplc="65CA7032" w:tentative="1">
      <w:start w:val="1"/>
      <w:numFmt w:val="lowerRoman"/>
      <w:lvlText w:val="%6."/>
      <w:lvlJc w:val="right"/>
      <w:pPr>
        <w:ind w:left="4320" w:hanging="180"/>
      </w:pPr>
    </w:lvl>
    <w:lvl w:ilvl="6" w:tplc="C6508740" w:tentative="1">
      <w:start w:val="1"/>
      <w:numFmt w:val="decimal"/>
      <w:lvlText w:val="%7."/>
      <w:lvlJc w:val="left"/>
      <w:pPr>
        <w:ind w:left="5040" w:hanging="360"/>
      </w:pPr>
    </w:lvl>
    <w:lvl w:ilvl="7" w:tplc="3E023868" w:tentative="1">
      <w:start w:val="1"/>
      <w:numFmt w:val="lowerLetter"/>
      <w:lvlText w:val="%8."/>
      <w:lvlJc w:val="left"/>
      <w:pPr>
        <w:ind w:left="5760" w:hanging="360"/>
      </w:pPr>
    </w:lvl>
    <w:lvl w:ilvl="8" w:tplc="68449948" w:tentative="1">
      <w:start w:val="1"/>
      <w:numFmt w:val="lowerRoman"/>
      <w:lvlText w:val="%9."/>
      <w:lvlJc w:val="right"/>
      <w:pPr>
        <w:ind w:left="6480" w:hanging="180"/>
      </w:pPr>
    </w:lvl>
  </w:abstractNum>
  <w:abstractNum w:abstractNumId="19" w15:restartNumberingAfterBreak="0">
    <w:nsid w:val="3CC05E93"/>
    <w:multiLevelType w:val="hybridMultilevel"/>
    <w:tmpl w:val="9ADA4C0E"/>
    <w:lvl w:ilvl="0" w:tplc="5BCC1D60">
      <w:start w:val="1"/>
      <w:numFmt w:val="bullet"/>
      <w:lvlText w:val="o"/>
      <w:lvlJc w:val="left"/>
      <w:pPr>
        <w:ind w:left="3479" w:hanging="360"/>
      </w:pPr>
      <w:rPr>
        <w:rFonts w:ascii="Courier New" w:hAnsi="Courier New" w:cs="Courier New" w:hint="default"/>
      </w:rPr>
    </w:lvl>
    <w:lvl w:ilvl="1" w:tplc="3366274C">
      <w:start w:val="1"/>
      <w:numFmt w:val="bullet"/>
      <w:lvlText w:val="o"/>
      <w:lvlJc w:val="left"/>
      <w:pPr>
        <w:ind w:left="1821" w:hanging="360"/>
      </w:pPr>
      <w:rPr>
        <w:rFonts w:ascii="Courier New" w:hAnsi="Courier New" w:cs="Courier New" w:hint="default"/>
      </w:rPr>
    </w:lvl>
    <w:lvl w:ilvl="2" w:tplc="E3387B42">
      <w:start w:val="1"/>
      <w:numFmt w:val="bullet"/>
      <w:lvlText w:val=""/>
      <w:lvlJc w:val="left"/>
      <w:pPr>
        <w:ind w:left="2541" w:hanging="360"/>
      </w:pPr>
      <w:rPr>
        <w:rFonts w:ascii="Wingdings" w:hAnsi="Wingdings" w:hint="default"/>
      </w:rPr>
    </w:lvl>
    <w:lvl w:ilvl="3" w:tplc="39E80166">
      <w:start w:val="1"/>
      <w:numFmt w:val="bullet"/>
      <w:lvlText w:val=""/>
      <w:lvlJc w:val="left"/>
      <w:pPr>
        <w:ind w:left="3261" w:hanging="360"/>
      </w:pPr>
      <w:rPr>
        <w:rFonts w:ascii="Symbol" w:hAnsi="Symbol" w:hint="default"/>
      </w:rPr>
    </w:lvl>
    <w:lvl w:ilvl="4" w:tplc="248800BA">
      <w:start w:val="1"/>
      <w:numFmt w:val="bullet"/>
      <w:lvlText w:val="o"/>
      <w:lvlJc w:val="left"/>
      <w:pPr>
        <w:ind w:left="3981" w:hanging="360"/>
      </w:pPr>
      <w:rPr>
        <w:rFonts w:ascii="Courier New" w:hAnsi="Courier New" w:cs="Courier New" w:hint="default"/>
      </w:rPr>
    </w:lvl>
    <w:lvl w:ilvl="5" w:tplc="54FA5394">
      <w:start w:val="1"/>
      <w:numFmt w:val="bullet"/>
      <w:lvlText w:val=""/>
      <w:lvlJc w:val="left"/>
      <w:pPr>
        <w:ind w:left="4701" w:hanging="360"/>
      </w:pPr>
      <w:rPr>
        <w:rFonts w:ascii="Wingdings" w:hAnsi="Wingdings" w:hint="default"/>
      </w:rPr>
    </w:lvl>
    <w:lvl w:ilvl="6" w:tplc="D05631C8" w:tentative="1">
      <w:start w:val="1"/>
      <w:numFmt w:val="bullet"/>
      <w:lvlText w:val=""/>
      <w:lvlJc w:val="left"/>
      <w:pPr>
        <w:ind w:left="5421" w:hanging="360"/>
      </w:pPr>
      <w:rPr>
        <w:rFonts w:ascii="Symbol" w:hAnsi="Symbol" w:hint="default"/>
      </w:rPr>
    </w:lvl>
    <w:lvl w:ilvl="7" w:tplc="4CC0BA10" w:tentative="1">
      <w:start w:val="1"/>
      <w:numFmt w:val="bullet"/>
      <w:lvlText w:val="o"/>
      <w:lvlJc w:val="left"/>
      <w:pPr>
        <w:ind w:left="6141" w:hanging="360"/>
      </w:pPr>
      <w:rPr>
        <w:rFonts w:ascii="Courier New" w:hAnsi="Courier New" w:cs="Courier New" w:hint="default"/>
      </w:rPr>
    </w:lvl>
    <w:lvl w:ilvl="8" w:tplc="938AA6C4" w:tentative="1">
      <w:start w:val="1"/>
      <w:numFmt w:val="bullet"/>
      <w:lvlText w:val=""/>
      <w:lvlJc w:val="left"/>
      <w:pPr>
        <w:ind w:left="6861" w:hanging="360"/>
      </w:pPr>
      <w:rPr>
        <w:rFonts w:ascii="Wingdings" w:hAnsi="Wingdings" w:hint="default"/>
      </w:rPr>
    </w:lvl>
  </w:abstractNum>
  <w:abstractNum w:abstractNumId="20" w15:restartNumberingAfterBreak="0">
    <w:nsid w:val="3E2839E2"/>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0676902"/>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3695541"/>
    <w:multiLevelType w:val="hybridMultilevel"/>
    <w:tmpl w:val="DFF0955A"/>
    <w:lvl w:ilvl="0" w:tplc="808CF4DA">
      <w:start w:val="1"/>
      <w:numFmt w:val="bullet"/>
      <w:lvlText w:val="o"/>
      <w:lvlJc w:val="left"/>
      <w:pPr>
        <w:ind w:left="720" w:hanging="360"/>
      </w:pPr>
      <w:rPr>
        <w:rFonts w:ascii="Courier New" w:hAnsi="Courier New" w:cs="Courier New" w:hint="default"/>
      </w:rPr>
    </w:lvl>
    <w:lvl w:ilvl="1" w:tplc="039AAD8C" w:tentative="1">
      <w:start w:val="1"/>
      <w:numFmt w:val="bullet"/>
      <w:lvlText w:val="o"/>
      <w:lvlJc w:val="left"/>
      <w:pPr>
        <w:ind w:left="1440" w:hanging="360"/>
      </w:pPr>
      <w:rPr>
        <w:rFonts w:ascii="Courier New" w:hAnsi="Courier New" w:cs="Courier New" w:hint="default"/>
      </w:rPr>
    </w:lvl>
    <w:lvl w:ilvl="2" w:tplc="54D4B74E" w:tentative="1">
      <w:start w:val="1"/>
      <w:numFmt w:val="bullet"/>
      <w:lvlText w:val=""/>
      <w:lvlJc w:val="left"/>
      <w:pPr>
        <w:ind w:left="2160" w:hanging="360"/>
      </w:pPr>
      <w:rPr>
        <w:rFonts w:ascii="Wingdings" w:hAnsi="Wingdings" w:hint="default"/>
      </w:rPr>
    </w:lvl>
    <w:lvl w:ilvl="3" w:tplc="DC380288" w:tentative="1">
      <w:start w:val="1"/>
      <w:numFmt w:val="bullet"/>
      <w:lvlText w:val=""/>
      <w:lvlJc w:val="left"/>
      <w:pPr>
        <w:ind w:left="2880" w:hanging="360"/>
      </w:pPr>
      <w:rPr>
        <w:rFonts w:ascii="Symbol" w:hAnsi="Symbol" w:hint="default"/>
      </w:rPr>
    </w:lvl>
    <w:lvl w:ilvl="4" w:tplc="6AC0C5AE" w:tentative="1">
      <w:start w:val="1"/>
      <w:numFmt w:val="bullet"/>
      <w:lvlText w:val="o"/>
      <w:lvlJc w:val="left"/>
      <w:pPr>
        <w:ind w:left="3600" w:hanging="360"/>
      </w:pPr>
      <w:rPr>
        <w:rFonts w:ascii="Courier New" w:hAnsi="Courier New" w:cs="Courier New" w:hint="default"/>
      </w:rPr>
    </w:lvl>
    <w:lvl w:ilvl="5" w:tplc="3E829586" w:tentative="1">
      <w:start w:val="1"/>
      <w:numFmt w:val="bullet"/>
      <w:lvlText w:val=""/>
      <w:lvlJc w:val="left"/>
      <w:pPr>
        <w:ind w:left="4320" w:hanging="360"/>
      </w:pPr>
      <w:rPr>
        <w:rFonts w:ascii="Wingdings" w:hAnsi="Wingdings" w:hint="default"/>
      </w:rPr>
    </w:lvl>
    <w:lvl w:ilvl="6" w:tplc="9EEAFABE" w:tentative="1">
      <w:start w:val="1"/>
      <w:numFmt w:val="bullet"/>
      <w:lvlText w:val=""/>
      <w:lvlJc w:val="left"/>
      <w:pPr>
        <w:ind w:left="5040" w:hanging="360"/>
      </w:pPr>
      <w:rPr>
        <w:rFonts w:ascii="Symbol" w:hAnsi="Symbol" w:hint="default"/>
      </w:rPr>
    </w:lvl>
    <w:lvl w:ilvl="7" w:tplc="DF42627C" w:tentative="1">
      <w:start w:val="1"/>
      <w:numFmt w:val="bullet"/>
      <w:lvlText w:val="o"/>
      <w:lvlJc w:val="left"/>
      <w:pPr>
        <w:ind w:left="5760" w:hanging="360"/>
      </w:pPr>
      <w:rPr>
        <w:rFonts w:ascii="Courier New" w:hAnsi="Courier New" w:cs="Courier New" w:hint="default"/>
      </w:rPr>
    </w:lvl>
    <w:lvl w:ilvl="8" w:tplc="C7AA4040" w:tentative="1">
      <w:start w:val="1"/>
      <w:numFmt w:val="bullet"/>
      <w:lvlText w:val=""/>
      <w:lvlJc w:val="left"/>
      <w:pPr>
        <w:ind w:left="6480" w:hanging="360"/>
      </w:pPr>
      <w:rPr>
        <w:rFonts w:ascii="Wingdings" w:hAnsi="Wingdings" w:hint="default"/>
      </w:rPr>
    </w:lvl>
  </w:abstractNum>
  <w:abstractNum w:abstractNumId="23" w15:restartNumberingAfterBreak="0">
    <w:nsid w:val="4B276E43"/>
    <w:multiLevelType w:val="multilevel"/>
    <w:tmpl w:val="8670D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C8458A"/>
    <w:multiLevelType w:val="multilevel"/>
    <w:tmpl w:val="21C61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F86279"/>
    <w:multiLevelType w:val="hybridMultilevel"/>
    <w:tmpl w:val="2A960958"/>
    <w:lvl w:ilvl="0" w:tplc="96D28B46">
      <w:start w:val="1"/>
      <w:numFmt w:val="bullet"/>
      <w:lvlText w:val="o"/>
      <w:lvlJc w:val="left"/>
      <w:pPr>
        <w:ind w:left="1070" w:hanging="360"/>
      </w:pPr>
      <w:rPr>
        <w:rFonts w:ascii="Courier New" w:hAnsi="Courier New" w:cs="Courier New" w:hint="default"/>
      </w:rPr>
    </w:lvl>
    <w:lvl w:ilvl="1" w:tplc="810629EA" w:tentative="1">
      <w:start w:val="1"/>
      <w:numFmt w:val="bullet"/>
      <w:lvlText w:val="o"/>
      <w:lvlJc w:val="left"/>
      <w:pPr>
        <w:ind w:left="1790" w:hanging="360"/>
      </w:pPr>
      <w:rPr>
        <w:rFonts w:ascii="Courier New" w:hAnsi="Courier New" w:cs="Courier New" w:hint="default"/>
      </w:rPr>
    </w:lvl>
    <w:lvl w:ilvl="2" w:tplc="7E1A3D6A" w:tentative="1">
      <w:start w:val="1"/>
      <w:numFmt w:val="bullet"/>
      <w:lvlText w:val=""/>
      <w:lvlJc w:val="left"/>
      <w:pPr>
        <w:ind w:left="2510" w:hanging="360"/>
      </w:pPr>
      <w:rPr>
        <w:rFonts w:ascii="Wingdings" w:hAnsi="Wingdings" w:hint="default"/>
      </w:rPr>
    </w:lvl>
    <w:lvl w:ilvl="3" w:tplc="6FAA5714" w:tentative="1">
      <w:start w:val="1"/>
      <w:numFmt w:val="bullet"/>
      <w:lvlText w:val=""/>
      <w:lvlJc w:val="left"/>
      <w:pPr>
        <w:ind w:left="3230" w:hanging="360"/>
      </w:pPr>
      <w:rPr>
        <w:rFonts w:ascii="Symbol" w:hAnsi="Symbol" w:hint="default"/>
      </w:rPr>
    </w:lvl>
    <w:lvl w:ilvl="4" w:tplc="24D2FAA8" w:tentative="1">
      <w:start w:val="1"/>
      <w:numFmt w:val="bullet"/>
      <w:lvlText w:val="o"/>
      <w:lvlJc w:val="left"/>
      <w:pPr>
        <w:ind w:left="3950" w:hanging="360"/>
      </w:pPr>
      <w:rPr>
        <w:rFonts w:ascii="Courier New" w:hAnsi="Courier New" w:cs="Courier New" w:hint="default"/>
      </w:rPr>
    </w:lvl>
    <w:lvl w:ilvl="5" w:tplc="922AD088" w:tentative="1">
      <w:start w:val="1"/>
      <w:numFmt w:val="bullet"/>
      <w:lvlText w:val=""/>
      <w:lvlJc w:val="left"/>
      <w:pPr>
        <w:ind w:left="4670" w:hanging="360"/>
      </w:pPr>
      <w:rPr>
        <w:rFonts w:ascii="Wingdings" w:hAnsi="Wingdings" w:hint="default"/>
      </w:rPr>
    </w:lvl>
    <w:lvl w:ilvl="6" w:tplc="9CE23408" w:tentative="1">
      <w:start w:val="1"/>
      <w:numFmt w:val="bullet"/>
      <w:lvlText w:val=""/>
      <w:lvlJc w:val="left"/>
      <w:pPr>
        <w:ind w:left="5390" w:hanging="360"/>
      </w:pPr>
      <w:rPr>
        <w:rFonts w:ascii="Symbol" w:hAnsi="Symbol" w:hint="default"/>
      </w:rPr>
    </w:lvl>
    <w:lvl w:ilvl="7" w:tplc="88BC106A" w:tentative="1">
      <w:start w:val="1"/>
      <w:numFmt w:val="bullet"/>
      <w:lvlText w:val="o"/>
      <w:lvlJc w:val="left"/>
      <w:pPr>
        <w:ind w:left="6110" w:hanging="360"/>
      </w:pPr>
      <w:rPr>
        <w:rFonts w:ascii="Courier New" w:hAnsi="Courier New" w:cs="Courier New" w:hint="default"/>
      </w:rPr>
    </w:lvl>
    <w:lvl w:ilvl="8" w:tplc="1CAA2E14" w:tentative="1">
      <w:start w:val="1"/>
      <w:numFmt w:val="bullet"/>
      <w:lvlText w:val=""/>
      <w:lvlJc w:val="left"/>
      <w:pPr>
        <w:ind w:left="6830" w:hanging="360"/>
      </w:pPr>
      <w:rPr>
        <w:rFonts w:ascii="Wingdings" w:hAnsi="Wingdings" w:hint="default"/>
      </w:rPr>
    </w:lvl>
  </w:abstractNum>
  <w:abstractNum w:abstractNumId="26" w15:restartNumberingAfterBreak="0">
    <w:nsid w:val="56025BB3"/>
    <w:multiLevelType w:val="multilevel"/>
    <w:tmpl w:val="509E4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9B40DC"/>
    <w:multiLevelType w:val="multilevel"/>
    <w:tmpl w:val="D004C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C57468C"/>
    <w:multiLevelType w:val="multilevel"/>
    <w:tmpl w:val="48CAF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EAE7625"/>
    <w:multiLevelType w:val="hybridMultilevel"/>
    <w:tmpl w:val="6FFEE706"/>
    <w:lvl w:ilvl="0" w:tplc="49E691CA">
      <w:start w:val="1"/>
      <w:numFmt w:val="decimal"/>
      <w:lvlText w:val="%1."/>
      <w:lvlJc w:val="left"/>
      <w:pPr>
        <w:ind w:left="720" w:hanging="360"/>
      </w:pPr>
    </w:lvl>
    <w:lvl w:ilvl="1" w:tplc="8278A6A8" w:tentative="1">
      <w:start w:val="1"/>
      <w:numFmt w:val="lowerLetter"/>
      <w:lvlText w:val="%2."/>
      <w:lvlJc w:val="left"/>
      <w:pPr>
        <w:ind w:left="1440" w:hanging="360"/>
      </w:pPr>
    </w:lvl>
    <w:lvl w:ilvl="2" w:tplc="FF90C4A0" w:tentative="1">
      <w:start w:val="1"/>
      <w:numFmt w:val="lowerRoman"/>
      <w:lvlText w:val="%3."/>
      <w:lvlJc w:val="right"/>
      <w:pPr>
        <w:ind w:left="2160" w:hanging="180"/>
      </w:pPr>
    </w:lvl>
    <w:lvl w:ilvl="3" w:tplc="A80A04DE" w:tentative="1">
      <w:start w:val="1"/>
      <w:numFmt w:val="decimal"/>
      <w:lvlText w:val="%4."/>
      <w:lvlJc w:val="left"/>
      <w:pPr>
        <w:ind w:left="2880" w:hanging="360"/>
      </w:pPr>
    </w:lvl>
    <w:lvl w:ilvl="4" w:tplc="0B645096" w:tentative="1">
      <w:start w:val="1"/>
      <w:numFmt w:val="lowerLetter"/>
      <w:lvlText w:val="%5."/>
      <w:lvlJc w:val="left"/>
      <w:pPr>
        <w:ind w:left="3600" w:hanging="360"/>
      </w:pPr>
    </w:lvl>
    <w:lvl w:ilvl="5" w:tplc="19D200DA" w:tentative="1">
      <w:start w:val="1"/>
      <w:numFmt w:val="lowerRoman"/>
      <w:lvlText w:val="%6."/>
      <w:lvlJc w:val="right"/>
      <w:pPr>
        <w:ind w:left="4320" w:hanging="180"/>
      </w:pPr>
    </w:lvl>
    <w:lvl w:ilvl="6" w:tplc="003EB640" w:tentative="1">
      <w:start w:val="1"/>
      <w:numFmt w:val="decimal"/>
      <w:lvlText w:val="%7."/>
      <w:lvlJc w:val="left"/>
      <w:pPr>
        <w:ind w:left="5040" w:hanging="360"/>
      </w:pPr>
    </w:lvl>
    <w:lvl w:ilvl="7" w:tplc="28D84166" w:tentative="1">
      <w:start w:val="1"/>
      <w:numFmt w:val="lowerLetter"/>
      <w:lvlText w:val="%8."/>
      <w:lvlJc w:val="left"/>
      <w:pPr>
        <w:ind w:left="5760" w:hanging="360"/>
      </w:pPr>
    </w:lvl>
    <w:lvl w:ilvl="8" w:tplc="6A84C3CE" w:tentative="1">
      <w:start w:val="1"/>
      <w:numFmt w:val="lowerRoman"/>
      <w:lvlText w:val="%9."/>
      <w:lvlJc w:val="right"/>
      <w:pPr>
        <w:ind w:left="6480" w:hanging="180"/>
      </w:pPr>
    </w:lvl>
  </w:abstractNum>
  <w:abstractNum w:abstractNumId="30" w15:restartNumberingAfterBreak="0">
    <w:nsid w:val="62BE63A3"/>
    <w:multiLevelType w:val="multilevel"/>
    <w:tmpl w:val="85823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587896"/>
    <w:multiLevelType w:val="hybridMultilevel"/>
    <w:tmpl w:val="C25CEE3C"/>
    <w:lvl w:ilvl="0" w:tplc="4D7E5A0E">
      <w:start w:val="1"/>
      <w:numFmt w:val="decimal"/>
      <w:lvlText w:val="%1."/>
      <w:lvlJc w:val="left"/>
      <w:pPr>
        <w:ind w:left="967" w:hanging="360"/>
      </w:pPr>
    </w:lvl>
    <w:lvl w:ilvl="1" w:tplc="28C2F30E" w:tentative="1">
      <w:start w:val="1"/>
      <w:numFmt w:val="lowerLetter"/>
      <w:lvlText w:val="%2."/>
      <w:lvlJc w:val="left"/>
      <w:pPr>
        <w:ind w:left="1687" w:hanging="360"/>
      </w:pPr>
    </w:lvl>
    <w:lvl w:ilvl="2" w:tplc="298E7DF4" w:tentative="1">
      <w:start w:val="1"/>
      <w:numFmt w:val="lowerRoman"/>
      <w:lvlText w:val="%3."/>
      <w:lvlJc w:val="right"/>
      <w:pPr>
        <w:ind w:left="2407" w:hanging="180"/>
      </w:pPr>
    </w:lvl>
    <w:lvl w:ilvl="3" w:tplc="59F2F0C0" w:tentative="1">
      <w:start w:val="1"/>
      <w:numFmt w:val="decimal"/>
      <w:lvlText w:val="%4."/>
      <w:lvlJc w:val="left"/>
      <w:pPr>
        <w:ind w:left="3127" w:hanging="360"/>
      </w:pPr>
    </w:lvl>
    <w:lvl w:ilvl="4" w:tplc="843EC362" w:tentative="1">
      <w:start w:val="1"/>
      <w:numFmt w:val="lowerLetter"/>
      <w:lvlText w:val="%5."/>
      <w:lvlJc w:val="left"/>
      <w:pPr>
        <w:ind w:left="3847" w:hanging="360"/>
      </w:pPr>
    </w:lvl>
    <w:lvl w:ilvl="5" w:tplc="FA762756" w:tentative="1">
      <w:start w:val="1"/>
      <w:numFmt w:val="lowerRoman"/>
      <w:lvlText w:val="%6."/>
      <w:lvlJc w:val="right"/>
      <w:pPr>
        <w:ind w:left="4567" w:hanging="180"/>
      </w:pPr>
    </w:lvl>
    <w:lvl w:ilvl="6" w:tplc="7B5AB8DE" w:tentative="1">
      <w:start w:val="1"/>
      <w:numFmt w:val="decimal"/>
      <w:lvlText w:val="%7."/>
      <w:lvlJc w:val="left"/>
      <w:pPr>
        <w:ind w:left="5287" w:hanging="360"/>
      </w:pPr>
    </w:lvl>
    <w:lvl w:ilvl="7" w:tplc="AC968C6A" w:tentative="1">
      <w:start w:val="1"/>
      <w:numFmt w:val="lowerLetter"/>
      <w:lvlText w:val="%8."/>
      <w:lvlJc w:val="left"/>
      <w:pPr>
        <w:ind w:left="6007" w:hanging="360"/>
      </w:pPr>
    </w:lvl>
    <w:lvl w:ilvl="8" w:tplc="53846026" w:tentative="1">
      <w:start w:val="1"/>
      <w:numFmt w:val="lowerRoman"/>
      <w:lvlText w:val="%9."/>
      <w:lvlJc w:val="right"/>
      <w:pPr>
        <w:ind w:left="6727" w:hanging="180"/>
      </w:pPr>
    </w:lvl>
  </w:abstractNum>
  <w:abstractNum w:abstractNumId="32" w15:restartNumberingAfterBreak="0">
    <w:nsid w:val="6AF178CD"/>
    <w:multiLevelType w:val="hybridMultilevel"/>
    <w:tmpl w:val="2A30D358"/>
    <w:lvl w:ilvl="0" w:tplc="6B46DC9A">
      <w:start w:val="1"/>
      <w:numFmt w:val="decimal"/>
      <w:lvlText w:val="%1-"/>
      <w:lvlJc w:val="left"/>
      <w:pPr>
        <w:ind w:left="720" w:hanging="360"/>
      </w:pPr>
      <w:rPr>
        <w:rFonts w:hint="default"/>
        <w:color w:val="auto"/>
      </w:rPr>
    </w:lvl>
    <w:lvl w:ilvl="1" w:tplc="C30AEEE4" w:tentative="1">
      <w:start w:val="1"/>
      <w:numFmt w:val="lowerLetter"/>
      <w:lvlText w:val="%2."/>
      <w:lvlJc w:val="left"/>
      <w:pPr>
        <w:ind w:left="1440" w:hanging="360"/>
      </w:pPr>
    </w:lvl>
    <w:lvl w:ilvl="2" w:tplc="2318D218" w:tentative="1">
      <w:start w:val="1"/>
      <w:numFmt w:val="lowerRoman"/>
      <w:lvlText w:val="%3."/>
      <w:lvlJc w:val="right"/>
      <w:pPr>
        <w:ind w:left="2160" w:hanging="180"/>
      </w:pPr>
    </w:lvl>
    <w:lvl w:ilvl="3" w:tplc="7C1C99A2" w:tentative="1">
      <w:start w:val="1"/>
      <w:numFmt w:val="decimal"/>
      <w:lvlText w:val="%4."/>
      <w:lvlJc w:val="left"/>
      <w:pPr>
        <w:ind w:left="2880" w:hanging="360"/>
      </w:pPr>
    </w:lvl>
    <w:lvl w:ilvl="4" w:tplc="496ABCB8" w:tentative="1">
      <w:start w:val="1"/>
      <w:numFmt w:val="lowerLetter"/>
      <w:lvlText w:val="%5."/>
      <w:lvlJc w:val="left"/>
      <w:pPr>
        <w:ind w:left="3600" w:hanging="360"/>
      </w:pPr>
    </w:lvl>
    <w:lvl w:ilvl="5" w:tplc="83F82D0C" w:tentative="1">
      <w:start w:val="1"/>
      <w:numFmt w:val="lowerRoman"/>
      <w:lvlText w:val="%6."/>
      <w:lvlJc w:val="right"/>
      <w:pPr>
        <w:ind w:left="4320" w:hanging="180"/>
      </w:pPr>
    </w:lvl>
    <w:lvl w:ilvl="6" w:tplc="7AAEDE6C" w:tentative="1">
      <w:start w:val="1"/>
      <w:numFmt w:val="decimal"/>
      <w:lvlText w:val="%7."/>
      <w:lvlJc w:val="left"/>
      <w:pPr>
        <w:ind w:left="5040" w:hanging="360"/>
      </w:pPr>
    </w:lvl>
    <w:lvl w:ilvl="7" w:tplc="507295B2" w:tentative="1">
      <w:start w:val="1"/>
      <w:numFmt w:val="lowerLetter"/>
      <w:lvlText w:val="%8."/>
      <w:lvlJc w:val="left"/>
      <w:pPr>
        <w:ind w:left="5760" w:hanging="360"/>
      </w:pPr>
    </w:lvl>
    <w:lvl w:ilvl="8" w:tplc="3F3AE044" w:tentative="1">
      <w:start w:val="1"/>
      <w:numFmt w:val="lowerRoman"/>
      <w:lvlText w:val="%9."/>
      <w:lvlJc w:val="right"/>
      <w:pPr>
        <w:ind w:left="6480" w:hanging="180"/>
      </w:pPr>
    </w:lvl>
  </w:abstractNum>
  <w:abstractNum w:abstractNumId="33" w15:restartNumberingAfterBreak="0">
    <w:nsid w:val="6D9825FE"/>
    <w:multiLevelType w:val="hybridMultilevel"/>
    <w:tmpl w:val="96303F82"/>
    <w:lvl w:ilvl="0" w:tplc="1AC42A04">
      <w:start w:val="1"/>
      <w:numFmt w:val="bullet"/>
      <w:lvlText w:val="o"/>
      <w:lvlJc w:val="left"/>
      <w:pPr>
        <w:ind w:left="3479" w:hanging="360"/>
      </w:pPr>
      <w:rPr>
        <w:rFonts w:ascii="Courier New" w:hAnsi="Courier New" w:cs="Courier New" w:hint="default"/>
      </w:rPr>
    </w:lvl>
    <w:lvl w:ilvl="1" w:tplc="583A2632">
      <w:start w:val="1"/>
      <w:numFmt w:val="bullet"/>
      <w:lvlText w:val="o"/>
      <w:lvlJc w:val="left"/>
      <w:pPr>
        <w:ind w:left="1821" w:hanging="360"/>
      </w:pPr>
      <w:rPr>
        <w:rFonts w:ascii="Courier New" w:hAnsi="Courier New" w:cs="Courier New" w:hint="default"/>
      </w:rPr>
    </w:lvl>
    <w:lvl w:ilvl="2" w:tplc="BE987508">
      <w:start w:val="1"/>
      <w:numFmt w:val="bullet"/>
      <w:lvlText w:val=""/>
      <w:lvlJc w:val="left"/>
      <w:pPr>
        <w:ind w:left="2541" w:hanging="360"/>
      </w:pPr>
      <w:rPr>
        <w:rFonts w:ascii="Wingdings" w:hAnsi="Wingdings" w:hint="default"/>
      </w:rPr>
    </w:lvl>
    <w:lvl w:ilvl="3" w:tplc="26EC7F0A">
      <w:start w:val="1"/>
      <w:numFmt w:val="bullet"/>
      <w:lvlText w:val=""/>
      <w:lvlJc w:val="left"/>
      <w:pPr>
        <w:ind w:left="3261" w:hanging="360"/>
      </w:pPr>
      <w:rPr>
        <w:rFonts w:ascii="Symbol" w:hAnsi="Symbol" w:hint="default"/>
      </w:rPr>
    </w:lvl>
    <w:lvl w:ilvl="4" w:tplc="251882EA">
      <w:start w:val="1"/>
      <w:numFmt w:val="bullet"/>
      <w:lvlText w:val="o"/>
      <w:lvlJc w:val="left"/>
      <w:pPr>
        <w:ind w:left="3981" w:hanging="360"/>
      </w:pPr>
      <w:rPr>
        <w:rFonts w:ascii="Courier New" w:hAnsi="Courier New" w:cs="Courier New" w:hint="default"/>
      </w:rPr>
    </w:lvl>
    <w:lvl w:ilvl="5" w:tplc="AF2825EE">
      <w:start w:val="1"/>
      <w:numFmt w:val="bullet"/>
      <w:lvlText w:val=""/>
      <w:lvlJc w:val="left"/>
      <w:pPr>
        <w:ind w:left="4701" w:hanging="360"/>
      </w:pPr>
      <w:rPr>
        <w:rFonts w:ascii="Wingdings" w:hAnsi="Wingdings" w:hint="default"/>
      </w:rPr>
    </w:lvl>
    <w:lvl w:ilvl="6" w:tplc="7F9ABEA4" w:tentative="1">
      <w:start w:val="1"/>
      <w:numFmt w:val="bullet"/>
      <w:lvlText w:val=""/>
      <w:lvlJc w:val="left"/>
      <w:pPr>
        <w:ind w:left="5421" w:hanging="360"/>
      </w:pPr>
      <w:rPr>
        <w:rFonts w:ascii="Symbol" w:hAnsi="Symbol" w:hint="default"/>
      </w:rPr>
    </w:lvl>
    <w:lvl w:ilvl="7" w:tplc="3828D6D8" w:tentative="1">
      <w:start w:val="1"/>
      <w:numFmt w:val="bullet"/>
      <w:lvlText w:val="o"/>
      <w:lvlJc w:val="left"/>
      <w:pPr>
        <w:ind w:left="6141" w:hanging="360"/>
      </w:pPr>
      <w:rPr>
        <w:rFonts w:ascii="Courier New" w:hAnsi="Courier New" w:cs="Courier New" w:hint="default"/>
      </w:rPr>
    </w:lvl>
    <w:lvl w:ilvl="8" w:tplc="DF30B4F4" w:tentative="1">
      <w:start w:val="1"/>
      <w:numFmt w:val="bullet"/>
      <w:lvlText w:val=""/>
      <w:lvlJc w:val="left"/>
      <w:pPr>
        <w:ind w:left="6861" w:hanging="360"/>
      </w:pPr>
      <w:rPr>
        <w:rFonts w:ascii="Wingdings" w:hAnsi="Wingdings" w:hint="default"/>
      </w:rPr>
    </w:lvl>
  </w:abstractNum>
  <w:abstractNum w:abstractNumId="34" w15:restartNumberingAfterBreak="0">
    <w:nsid w:val="72D64512"/>
    <w:multiLevelType w:val="multilevel"/>
    <w:tmpl w:val="10DC19F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69B5AFD"/>
    <w:multiLevelType w:val="multilevel"/>
    <w:tmpl w:val="D5885C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B06076"/>
    <w:multiLevelType w:val="hybridMultilevel"/>
    <w:tmpl w:val="FFD896B8"/>
    <w:lvl w:ilvl="0" w:tplc="4CA83D3C">
      <w:start w:val="1"/>
      <w:numFmt w:val="decimal"/>
      <w:lvlText w:val="%1-"/>
      <w:lvlJc w:val="left"/>
      <w:pPr>
        <w:ind w:left="720" w:hanging="360"/>
      </w:pPr>
      <w:rPr>
        <w:rFonts w:hint="default"/>
      </w:rPr>
    </w:lvl>
    <w:lvl w:ilvl="1" w:tplc="AC5A9954" w:tentative="1">
      <w:start w:val="1"/>
      <w:numFmt w:val="lowerLetter"/>
      <w:lvlText w:val="%2."/>
      <w:lvlJc w:val="left"/>
      <w:pPr>
        <w:ind w:left="1440" w:hanging="360"/>
      </w:pPr>
    </w:lvl>
    <w:lvl w:ilvl="2" w:tplc="ABF20D84" w:tentative="1">
      <w:start w:val="1"/>
      <w:numFmt w:val="lowerRoman"/>
      <w:lvlText w:val="%3."/>
      <w:lvlJc w:val="right"/>
      <w:pPr>
        <w:ind w:left="2160" w:hanging="180"/>
      </w:pPr>
    </w:lvl>
    <w:lvl w:ilvl="3" w:tplc="F0685E1E" w:tentative="1">
      <w:start w:val="1"/>
      <w:numFmt w:val="decimal"/>
      <w:lvlText w:val="%4."/>
      <w:lvlJc w:val="left"/>
      <w:pPr>
        <w:ind w:left="2880" w:hanging="360"/>
      </w:pPr>
    </w:lvl>
    <w:lvl w:ilvl="4" w:tplc="0114D2EA" w:tentative="1">
      <w:start w:val="1"/>
      <w:numFmt w:val="lowerLetter"/>
      <w:lvlText w:val="%5."/>
      <w:lvlJc w:val="left"/>
      <w:pPr>
        <w:ind w:left="3600" w:hanging="360"/>
      </w:pPr>
    </w:lvl>
    <w:lvl w:ilvl="5" w:tplc="D6E25810" w:tentative="1">
      <w:start w:val="1"/>
      <w:numFmt w:val="lowerRoman"/>
      <w:lvlText w:val="%6."/>
      <w:lvlJc w:val="right"/>
      <w:pPr>
        <w:ind w:left="4320" w:hanging="180"/>
      </w:pPr>
    </w:lvl>
    <w:lvl w:ilvl="6" w:tplc="CFEAF1C0" w:tentative="1">
      <w:start w:val="1"/>
      <w:numFmt w:val="decimal"/>
      <w:lvlText w:val="%7."/>
      <w:lvlJc w:val="left"/>
      <w:pPr>
        <w:ind w:left="5040" w:hanging="360"/>
      </w:pPr>
    </w:lvl>
    <w:lvl w:ilvl="7" w:tplc="EAD8EE1C" w:tentative="1">
      <w:start w:val="1"/>
      <w:numFmt w:val="lowerLetter"/>
      <w:lvlText w:val="%8."/>
      <w:lvlJc w:val="left"/>
      <w:pPr>
        <w:ind w:left="5760" w:hanging="360"/>
      </w:pPr>
    </w:lvl>
    <w:lvl w:ilvl="8" w:tplc="3CFC0EEA" w:tentative="1">
      <w:start w:val="1"/>
      <w:numFmt w:val="lowerRoman"/>
      <w:lvlText w:val="%9."/>
      <w:lvlJc w:val="right"/>
      <w:pPr>
        <w:ind w:left="6480" w:hanging="180"/>
      </w:pPr>
    </w:lvl>
  </w:abstractNum>
  <w:num w:numId="1" w16cid:durableId="1286035251">
    <w:abstractNumId w:val="9"/>
  </w:num>
  <w:num w:numId="2" w16cid:durableId="1294754039">
    <w:abstractNumId w:val="36"/>
  </w:num>
  <w:num w:numId="3" w16cid:durableId="986974372">
    <w:abstractNumId w:val="3"/>
  </w:num>
  <w:num w:numId="4" w16cid:durableId="1189175596">
    <w:abstractNumId w:val="14"/>
  </w:num>
  <w:num w:numId="5" w16cid:durableId="312219115">
    <w:abstractNumId w:val="32"/>
  </w:num>
  <w:num w:numId="6" w16cid:durableId="768352531">
    <w:abstractNumId w:val="4"/>
  </w:num>
  <w:num w:numId="7" w16cid:durableId="798575645">
    <w:abstractNumId w:val="11"/>
  </w:num>
  <w:num w:numId="8" w16cid:durableId="391198983">
    <w:abstractNumId w:val="22"/>
  </w:num>
  <w:num w:numId="9" w16cid:durableId="1799493089">
    <w:abstractNumId w:val="29"/>
  </w:num>
  <w:num w:numId="10" w16cid:durableId="2040079374">
    <w:abstractNumId w:val="31"/>
  </w:num>
  <w:num w:numId="11" w16cid:durableId="1346398484">
    <w:abstractNumId w:val="27"/>
  </w:num>
  <w:num w:numId="12" w16cid:durableId="1845897242">
    <w:abstractNumId w:val="16"/>
  </w:num>
  <w:num w:numId="13" w16cid:durableId="1394964838">
    <w:abstractNumId w:val="23"/>
  </w:num>
  <w:num w:numId="14" w16cid:durableId="174223637">
    <w:abstractNumId w:val="13"/>
  </w:num>
  <w:num w:numId="15" w16cid:durableId="1831828102">
    <w:abstractNumId w:val="10"/>
  </w:num>
  <w:num w:numId="16" w16cid:durableId="1799715831">
    <w:abstractNumId w:val="12"/>
  </w:num>
  <w:num w:numId="17" w16cid:durableId="65350019">
    <w:abstractNumId w:val="20"/>
  </w:num>
  <w:num w:numId="18" w16cid:durableId="685181385">
    <w:abstractNumId w:val="5"/>
  </w:num>
  <w:num w:numId="19" w16cid:durableId="2144732435">
    <w:abstractNumId w:val="25"/>
  </w:num>
  <w:num w:numId="20" w16cid:durableId="220749021">
    <w:abstractNumId w:val="0"/>
  </w:num>
  <w:num w:numId="21" w16cid:durableId="2042704943">
    <w:abstractNumId w:val="19"/>
  </w:num>
  <w:num w:numId="22" w16cid:durableId="470558289">
    <w:abstractNumId w:val="6"/>
  </w:num>
  <w:num w:numId="23" w16cid:durableId="294457992">
    <w:abstractNumId w:val="33"/>
  </w:num>
  <w:num w:numId="24" w16cid:durableId="1695881767">
    <w:abstractNumId w:val="34"/>
  </w:num>
  <w:num w:numId="25" w16cid:durableId="1707948874">
    <w:abstractNumId w:val="2"/>
  </w:num>
  <w:num w:numId="26" w16cid:durableId="1725325053">
    <w:abstractNumId w:val="21"/>
  </w:num>
  <w:num w:numId="27" w16cid:durableId="195393124">
    <w:abstractNumId w:val="7"/>
  </w:num>
  <w:num w:numId="28" w16cid:durableId="1414889204">
    <w:abstractNumId w:val="1"/>
  </w:num>
  <w:num w:numId="29" w16cid:durableId="1508520233">
    <w:abstractNumId w:val="8"/>
  </w:num>
  <w:num w:numId="30" w16cid:durableId="1487744621">
    <w:abstractNumId w:val="15"/>
  </w:num>
  <w:num w:numId="31" w16cid:durableId="987828112">
    <w:abstractNumId w:val="18"/>
  </w:num>
  <w:num w:numId="32" w16cid:durableId="2109232122">
    <w:abstractNumId w:val="35"/>
  </w:num>
  <w:num w:numId="33" w16cid:durableId="1300300271">
    <w:abstractNumId w:val="26"/>
  </w:num>
  <w:num w:numId="34" w16cid:durableId="43336170">
    <w:abstractNumId w:val="24"/>
  </w:num>
  <w:num w:numId="35" w16cid:durableId="560025533">
    <w:abstractNumId w:val="30"/>
  </w:num>
  <w:num w:numId="36" w16cid:durableId="1530685009">
    <w:abstractNumId w:val="17"/>
  </w:num>
  <w:num w:numId="37" w16cid:durableId="715161357">
    <w:abstractNumId w:val="2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AE6"/>
    <w:rsid w:val="00002935"/>
    <w:rsid w:val="00005A36"/>
    <w:rsid w:val="000077CF"/>
    <w:rsid w:val="00010A36"/>
    <w:rsid w:val="00010C0F"/>
    <w:rsid w:val="00011870"/>
    <w:rsid w:val="00011D52"/>
    <w:rsid w:val="000122E8"/>
    <w:rsid w:val="00012495"/>
    <w:rsid w:val="000130E7"/>
    <w:rsid w:val="000140E5"/>
    <w:rsid w:val="00016510"/>
    <w:rsid w:val="00022E3E"/>
    <w:rsid w:val="00023525"/>
    <w:rsid w:val="00027332"/>
    <w:rsid w:val="00027989"/>
    <w:rsid w:val="0003093B"/>
    <w:rsid w:val="00030C78"/>
    <w:rsid w:val="00032F6A"/>
    <w:rsid w:val="00033D1F"/>
    <w:rsid w:val="00037383"/>
    <w:rsid w:val="00037E9A"/>
    <w:rsid w:val="000408FD"/>
    <w:rsid w:val="000439D6"/>
    <w:rsid w:val="000447A4"/>
    <w:rsid w:val="00046E0A"/>
    <w:rsid w:val="0005100E"/>
    <w:rsid w:val="00054E06"/>
    <w:rsid w:val="00055FAB"/>
    <w:rsid w:val="00056F85"/>
    <w:rsid w:val="00060DB3"/>
    <w:rsid w:val="00063221"/>
    <w:rsid w:val="00063614"/>
    <w:rsid w:val="000649B3"/>
    <w:rsid w:val="00065498"/>
    <w:rsid w:val="000662E4"/>
    <w:rsid w:val="00066E49"/>
    <w:rsid w:val="0006740C"/>
    <w:rsid w:val="0006753D"/>
    <w:rsid w:val="00070B28"/>
    <w:rsid w:val="00071D67"/>
    <w:rsid w:val="000740EF"/>
    <w:rsid w:val="0007552B"/>
    <w:rsid w:val="0007599A"/>
    <w:rsid w:val="00075EC7"/>
    <w:rsid w:val="00076BDC"/>
    <w:rsid w:val="00077A48"/>
    <w:rsid w:val="0008023C"/>
    <w:rsid w:val="0008026B"/>
    <w:rsid w:val="000826D2"/>
    <w:rsid w:val="000841AE"/>
    <w:rsid w:val="000848FB"/>
    <w:rsid w:val="000849ED"/>
    <w:rsid w:val="00084DFE"/>
    <w:rsid w:val="000865F0"/>
    <w:rsid w:val="00087533"/>
    <w:rsid w:val="00090E89"/>
    <w:rsid w:val="00091AFA"/>
    <w:rsid w:val="000932E8"/>
    <w:rsid w:val="00093454"/>
    <w:rsid w:val="00094EEE"/>
    <w:rsid w:val="00096B61"/>
    <w:rsid w:val="000A0155"/>
    <w:rsid w:val="000A02AD"/>
    <w:rsid w:val="000A0E2C"/>
    <w:rsid w:val="000A464B"/>
    <w:rsid w:val="000A62AA"/>
    <w:rsid w:val="000A7FC4"/>
    <w:rsid w:val="000B0717"/>
    <w:rsid w:val="000B231F"/>
    <w:rsid w:val="000B3880"/>
    <w:rsid w:val="000B66AB"/>
    <w:rsid w:val="000B7423"/>
    <w:rsid w:val="000B7691"/>
    <w:rsid w:val="000B7724"/>
    <w:rsid w:val="000B7DA4"/>
    <w:rsid w:val="000C0218"/>
    <w:rsid w:val="000C08D0"/>
    <w:rsid w:val="000C1789"/>
    <w:rsid w:val="000C3C9D"/>
    <w:rsid w:val="000C406E"/>
    <w:rsid w:val="000C6E61"/>
    <w:rsid w:val="000D1F86"/>
    <w:rsid w:val="000D5E79"/>
    <w:rsid w:val="000D6F0B"/>
    <w:rsid w:val="000E0B78"/>
    <w:rsid w:val="000E2D2C"/>
    <w:rsid w:val="000E3B72"/>
    <w:rsid w:val="000E511B"/>
    <w:rsid w:val="000E60F4"/>
    <w:rsid w:val="000E7434"/>
    <w:rsid w:val="000E749B"/>
    <w:rsid w:val="000F1CA2"/>
    <w:rsid w:val="000F2128"/>
    <w:rsid w:val="000F3772"/>
    <w:rsid w:val="000F471D"/>
    <w:rsid w:val="000F4E43"/>
    <w:rsid w:val="000F68F1"/>
    <w:rsid w:val="0010079C"/>
    <w:rsid w:val="00101A74"/>
    <w:rsid w:val="001025CA"/>
    <w:rsid w:val="001025CF"/>
    <w:rsid w:val="001036C9"/>
    <w:rsid w:val="00103866"/>
    <w:rsid w:val="00104568"/>
    <w:rsid w:val="00105DBD"/>
    <w:rsid w:val="00106312"/>
    <w:rsid w:val="00111C83"/>
    <w:rsid w:val="00111FAF"/>
    <w:rsid w:val="0011327E"/>
    <w:rsid w:val="00114711"/>
    <w:rsid w:val="00116FF8"/>
    <w:rsid w:val="00121893"/>
    <w:rsid w:val="001271A8"/>
    <w:rsid w:val="0013273A"/>
    <w:rsid w:val="00132933"/>
    <w:rsid w:val="00133801"/>
    <w:rsid w:val="001359D9"/>
    <w:rsid w:val="001376C7"/>
    <w:rsid w:val="00140E5A"/>
    <w:rsid w:val="001411BE"/>
    <w:rsid w:val="00146620"/>
    <w:rsid w:val="001467B9"/>
    <w:rsid w:val="00147BAE"/>
    <w:rsid w:val="00150798"/>
    <w:rsid w:val="00151B7A"/>
    <w:rsid w:val="00151D39"/>
    <w:rsid w:val="001560F4"/>
    <w:rsid w:val="00156ADB"/>
    <w:rsid w:val="00157CEA"/>
    <w:rsid w:val="001623BD"/>
    <w:rsid w:val="0016346F"/>
    <w:rsid w:val="00165806"/>
    <w:rsid w:val="00165EE6"/>
    <w:rsid w:val="00170D8E"/>
    <w:rsid w:val="001733F0"/>
    <w:rsid w:val="001742C2"/>
    <w:rsid w:val="00175849"/>
    <w:rsid w:val="00177259"/>
    <w:rsid w:val="001772C6"/>
    <w:rsid w:val="0018118B"/>
    <w:rsid w:val="00182D13"/>
    <w:rsid w:val="00182DC9"/>
    <w:rsid w:val="00183CE3"/>
    <w:rsid w:val="001857D5"/>
    <w:rsid w:val="001858B2"/>
    <w:rsid w:val="00187396"/>
    <w:rsid w:val="00190C0A"/>
    <w:rsid w:val="00191601"/>
    <w:rsid w:val="00192CF2"/>
    <w:rsid w:val="001A0FC7"/>
    <w:rsid w:val="001A2755"/>
    <w:rsid w:val="001A5228"/>
    <w:rsid w:val="001A5885"/>
    <w:rsid w:val="001A67B1"/>
    <w:rsid w:val="001A7270"/>
    <w:rsid w:val="001B0EE9"/>
    <w:rsid w:val="001B17BF"/>
    <w:rsid w:val="001B316A"/>
    <w:rsid w:val="001B4AA1"/>
    <w:rsid w:val="001B4F2F"/>
    <w:rsid w:val="001B6047"/>
    <w:rsid w:val="001B6307"/>
    <w:rsid w:val="001B6DC4"/>
    <w:rsid w:val="001C0CF3"/>
    <w:rsid w:val="001C2170"/>
    <w:rsid w:val="001C21FA"/>
    <w:rsid w:val="001C264D"/>
    <w:rsid w:val="001C283D"/>
    <w:rsid w:val="001C39F3"/>
    <w:rsid w:val="001C5C23"/>
    <w:rsid w:val="001C7A22"/>
    <w:rsid w:val="001D5361"/>
    <w:rsid w:val="001D76CB"/>
    <w:rsid w:val="001E18D4"/>
    <w:rsid w:val="001E448F"/>
    <w:rsid w:val="001E557C"/>
    <w:rsid w:val="001E61C2"/>
    <w:rsid w:val="001E7B8F"/>
    <w:rsid w:val="001F1056"/>
    <w:rsid w:val="001F112F"/>
    <w:rsid w:val="001F2D45"/>
    <w:rsid w:val="001F36C4"/>
    <w:rsid w:val="0020046F"/>
    <w:rsid w:val="00200B49"/>
    <w:rsid w:val="002021F7"/>
    <w:rsid w:val="0020284B"/>
    <w:rsid w:val="00203331"/>
    <w:rsid w:val="002039E8"/>
    <w:rsid w:val="00203AE4"/>
    <w:rsid w:val="00204D2E"/>
    <w:rsid w:val="00210D7F"/>
    <w:rsid w:val="00211AB9"/>
    <w:rsid w:val="002123BF"/>
    <w:rsid w:val="00212B12"/>
    <w:rsid w:val="002177BA"/>
    <w:rsid w:val="00220C3D"/>
    <w:rsid w:val="0022295F"/>
    <w:rsid w:val="00222E32"/>
    <w:rsid w:val="00223AFA"/>
    <w:rsid w:val="00225086"/>
    <w:rsid w:val="00225EEB"/>
    <w:rsid w:val="00226592"/>
    <w:rsid w:val="002274D4"/>
    <w:rsid w:val="00230284"/>
    <w:rsid w:val="00230882"/>
    <w:rsid w:val="00230A3B"/>
    <w:rsid w:val="00230D71"/>
    <w:rsid w:val="00230D8A"/>
    <w:rsid w:val="0023185F"/>
    <w:rsid w:val="002338E0"/>
    <w:rsid w:val="00234A4C"/>
    <w:rsid w:val="00236D67"/>
    <w:rsid w:val="00237D3C"/>
    <w:rsid w:val="002400FE"/>
    <w:rsid w:val="0024069D"/>
    <w:rsid w:val="002428C4"/>
    <w:rsid w:val="002460B7"/>
    <w:rsid w:val="00246CA3"/>
    <w:rsid w:val="00246EBD"/>
    <w:rsid w:val="0025036A"/>
    <w:rsid w:val="002528F9"/>
    <w:rsid w:val="00253D50"/>
    <w:rsid w:val="00253D8E"/>
    <w:rsid w:val="00254278"/>
    <w:rsid w:val="00257F4E"/>
    <w:rsid w:val="00261118"/>
    <w:rsid w:val="00262666"/>
    <w:rsid w:val="00262CD2"/>
    <w:rsid w:val="00263353"/>
    <w:rsid w:val="002642C6"/>
    <w:rsid w:val="002729C4"/>
    <w:rsid w:val="0027584C"/>
    <w:rsid w:val="00276012"/>
    <w:rsid w:val="002760CF"/>
    <w:rsid w:val="00277A32"/>
    <w:rsid w:val="00277AE8"/>
    <w:rsid w:val="00282192"/>
    <w:rsid w:val="00282BC2"/>
    <w:rsid w:val="00282E4E"/>
    <w:rsid w:val="002837E1"/>
    <w:rsid w:val="002908F3"/>
    <w:rsid w:val="00291663"/>
    <w:rsid w:val="00292144"/>
    <w:rsid w:val="00292419"/>
    <w:rsid w:val="00293445"/>
    <w:rsid w:val="002944EC"/>
    <w:rsid w:val="002947A3"/>
    <w:rsid w:val="00297F48"/>
    <w:rsid w:val="002A1113"/>
    <w:rsid w:val="002A4559"/>
    <w:rsid w:val="002A6921"/>
    <w:rsid w:val="002B2563"/>
    <w:rsid w:val="002B2A02"/>
    <w:rsid w:val="002B4A3D"/>
    <w:rsid w:val="002B5277"/>
    <w:rsid w:val="002B53B7"/>
    <w:rsid w:val="002B68E8"/>
    <w:rsid w:val="002B7E1B"/>
    <w:rsid w:val="002C0D90"/>
    <w:rsid w:val="002C0E3D"/>
    <w:rsid w:val="002C18A7"/>
    <w:rsid w:val="002C33F0"/>
    <w:rsid w:val="002C748E"/>
    <w:rsid w:val="002C79BA"/>
    <w:rsid w:val="002D1A4D"/>
    <w:rsid w:val="002D3353"/>
    <w:rsid w:val="002D4A0F"/>
    <w:rsid w:val="002D5C3F"/>
    <w:rsid w:val="002D6BB8"/>
    <w:rsid w:val="002D727D"/>
    <w:rsid w:val="002E108D"/>
    <w:rsid w:val="002E2547"/>
    <w:rsid w:val="002E2C11"/>
    <w:rsid w:val="002E7D2F"/>
    <w:rsid w:val="002F0AA0"/>
    <w:rsid w:val="002F370E"/>
    <w:rsid w:val="002F3AAF"/>
    <w:rsid w:val="002F3E05"/>
    <w:rsid w:val="002F5887"/>
    <w:rsid w:val="002F68A8"/>
    <w:rsid w:val="002F6B0D"/>
    <w:rsid w:val="002F79E5"/>
    <w:rsid w:val="00300CC4"/>
    <w:rsid w:val="003013B4"/>
    <w:rsid w:val="0030192E"/>
    <w:rsid w:val="00303E17"/>
    <w:rsid w:val="00304B36"/>
    <w:rsid w:val="00305854"/>
    <w:rsid w:val="00305B26"/>
    <w:rsid w:val="003064AE"/>
    <w:rsid w:val="00306F5E"/>
    <w:rsid w:val="00310257"/>
    <w:rsid w:val="00310434"/>
    <w:rsid w:val="00311382"/>
    <w:rsid w:val="00311B04"/>
    <w:rsid w:val="00313036"/>
    <w:rsid w:val="00313C0D"/>
    <w:rsid w:val="00314820"/>
    <w:rsid w:val="0032017B"/>
    <w:rsid w:val="0032256C"/>
    <w:rsid w:val="0032279E"/>
    <w:rsid w:val="003229E7"/>
    <w:rsid w:val="00322CDD"/>
    <w:rsid w:val="00323502"/>
    <w:rsid w:val="0032468F"/>
    <w:rsid w:val="00324C49"/>
    <w:rsid w:val="00325E15"/>
    <w:rsid w:val="00327A4D"/>
    <w:rsid w:val="00332AB4"/>
    <w:rsid w:val="00332EFD"/>
    <w:rsid w:val="00341C28"/>
    <w:rsid w:val="00341C75"/>
    <w:rsid w:val="003442D5"/>
    <w:rsid w:val="00346CF4"/>
    <w:rsid w:val="0035026A"/>
    <w:rsid w:val="0035067A"/>
    <w:rsid w:val="00350B07"/>
    <w:rsid w:val="00351225"/>
    <w:rsid w:val="003517DA"/>
    <w:rsid w:val="003519B8"/>
    <w:rsid w:val="003523DC"/>
    <w:rsid w:val="00354A38"/>
    <w:rsid w:val="003562CA"/>
    <w:rsid w:val="00361799"/>
    <w:rsid w:val="00362B0A"/>
    <w:rsid w:val="00363461"/>
    <w:rsid w:val="003647B9"/>
    <w:rsid w:val="0037003D"/>
    <w:rsid w:val="0037240C"/>
    <w:rsid w:val="00372444"/>
    <w:rsid w:val="00372980"/>
    <w:rsid w:val="003736E2"/>
    <w:rsid w:val="00373909"/>
    <w:rsid w:val="003747CD"/>
    <w:rsid w:val="003749C2"/>
    <w:rsid w:val="00376A55"/>
    <w:rsid w:val="00380716"/>
    <w:rsid w:val="00381DB4"/>
    <w:rsid w:val="0038284A"/>
    <w:rsid w:val="00382A84"/>
    <w:rsid w:val="00382E1B"/>
    <w:rsid w:val="0038311C"/>
    <w:rsid w:val="00385138"/>
    <w:rsid w:val="00385C40"/>
    <w:rsid w:val="00386A49"/>
    <w:rsid w:val="00386A62"/>
    <w:rsid w:val="00387726"/>
    <w:rsid w:val="003903B9"/>
    <w:rsid w:val="00390BDB"/>
    <w:rsid w:val="00394127"/>
    <w:rsid w:val="00394443"/>
    <w:rsid w:val="003968AF"/>
    <w:rsid w:val="00396B48"/>
    <w:rsid w:val="003A05BC"/>
    <w:rsid w:val="003A0AD0"/>
    <w:rsid w:val="003A0CED"/>
    <w:rsid w:val="003A1485"/>
    <w:rsid w:val="003A18F7"/>
    <w:rsid w:val="003A1D1C"/>
    <w:rsid w:val="003A3156"/>
    <w:rsid w:val="003A3501"/>
    <w:rsid w:val="003A43AD"/>
    <w:rsid w:val="003A4753"/>
    <w:rsid w:val="003A7CA6"/>
    <w:rsid w:val="003B2D8A"/>
    <w:rsid w:val="003B3AB7"/>
    <w:rsid w:val="003B4CA0"/>
    <w:rsid w:val="003B7773"/>
    <w:rsid w:val="003B7836"/>
    <w:rsid w:val="003C078B"/>
    <w:rsid w:val="003C69C5"/>
    <w:rsid w:val="003C791B"/>
    <w:rsid w:val="003D3377"/>
    <w:rsid w:val="003D3BD4"/>
    <w:rsid w:val="003D4723"/>
    <w:rsid w:val="003D775D"/>
    <w:rsid w:val="003E0E1E"/>
    <w:rsid w:val="003E0F1C"/>
    <w:rsid w:val="003E204C"/>
    <w:rsid w:val="003E252A"/>
    <w:rsid w:val="003E4253"/>
    <w:rsid w:val="003E5273"/>
    <w:rsid w:val="003F0259"/>
    <w:rsid w:val="003F166B"/>
    <w:rsid w:val="003F1870"/>
    <w:rsid w:val="003F20C8"/>
    <w:rsid w:val="003F26AF"/>
    <w:rsid w:val="003F4DD5"/>
    <w:rsid w:val="003F5226"/>
    <w:rsid w:val="003F718B"/>
    <w:rsid w:val="003F75F8"/>
    <w:rsid w:val="003F76A1"/>
    <w:rsid w:val="003F7DA1"/>
    <w:rsid w:val="00404632"/>
    <w:rsid w:val="004049BB"/>
    <w:rsid w:val="00406E70"/>
    <w:rsid w:val="0040755C"/>
    <w:rsid w:val="00411327"/>
    <w:rsid w:val="004123F7"/>
    <w:rsid w:val="00412722"/>
    <w:rsid w:val="00412E99"/>
    <w:rsid w:val="00413353"/>
    <w:rsid w:val="0041364D"/>
    <w:rsid w:val="00421229"/>
    <w:rsid w:val="00421D6F"/>
    <w:rsid w:val="00423CE1"/>
    <w:rsid w:val="0042486E"/>
    <w:rsid w:val="00426F0C"/>
    <w:rsid w:val="004278D8"/>
    <w:rsid w:val="004315B5"/>
    <w:rsid w:val="00431772"/>
    <w:rsid w:val="00433409"/>
    <w:rsid w:val="00433EE9"/>
    <w:rsid w:val="00433F22"/>
    <w:rsid w:val="004346C6"/>
    <w:rsid w:val="004347F1"/>
    <w:rsid w:val="00440440"/>
    <w:rsid w:val="0044158C"/>
    <w:rsid w:val="0044231D"/>
    <w:rsid w:val="00442C87"/>
    <w:rsid w:val="00442DCE"/>
    <w:rsid w:val="004469FE"/>
    <w:rsid w:val="00446FA7"/>
    <w:rsid w:val="00447057"/>
    <w:rsid w:val="00450F4D"/>
    <w:rsid w:val="00451BDD"/>
    <w:rsid w:val="0045663F"/>
    <w:rsid w:val="0045701A"/>
    <w:rsid w:val="0046033D"/>
    <w:rsid w:val="00461643"/>
    <w:rsid w:val="00462CA8"/>
    <w:rsid w:val="00463ACA"/>
    <w:rsid w:val="004653CF"/>
    <w:rsid w:val="00467D86"/>
    <w:rsid w:val="00470592"/>
    <w:rsid w:val="004723B4"/>
    <w:rsid w:val="00472617"/>
    <w:rsid w:val="0047270C"/>
    <w:rsid w:val="004741BD"/>
    <w:rsid w:val="00474A3A"/>
    <w:rsid w:val="00480991"/>
    <w:rsid w:val="0048335D"/>
    <w:rsid w:val="00484ABD"/>
    <w:rsid w:val="004866DD"/>
    <w:rsid w:val="00486DDB"/>
    <w:rsid w:val="004874B8"/>
    <w:rsid w:val="0049265F"/>
    <w:rsid w:val="0049271F"/>
    <w:rsid w:val="00493BA7"/>
    <w:rsid w:val="004940C9"/>
    <w:rsid w:val="00495B0B"/>
    <w:rsid w:val="004A478A"/>
    <w:rsid w:val="004A4BC8"/>
    <w:rsid w:val="004A52AC"/>
    <w:rsid w:val="004A5DA9"/>
    <w:rsid w:val="004A6464"/>
    <w:rsid w:val="004B0B97"/>
    <w:rsid w:val="004B0DFF"/>
    <w:rsid w:val="004B16C5"/>
    <w:rsid w:val="004B2DE5"/>
    <w:rsid w:val="004B348E"/>
    <w:rsid w:val="004B4380"/>
    <w:rsid w:val="004B5A4A"/>
    <w:rsid w:val="004B5C16"/>
    <w:rsid w:val="004C1ADD"/>
    <w:rsid w:val="004C2771"/>
    <w:rsid w:val="004C3F16"/>
    <w:rsid w:val="004C4138"/>
    <w:rsid w:val="004C45D5"/>
    <w:rsid w:val="004C4BA2"/>
    <w:rsid w:val="004C539A"/>
    <w:rsid w:val="004C60A5"/>
    <w:rsid w:val="004C6A88"/>
    <w:rsid w:val="004D3C84"/>
    <w:rsid w:val="004D69DC"/>
    <w:rsid w:val="004D7764"/>
    <w:rsid w:val="004E1163"/>
    <w:rsid w:val="004E1778"/>
    <w:rsid w:val="004E232B"/>
    <w:rsid w:val="004E2C11"/>
    <w:rsid w:val="004E4D6D"/>
    <w:rsid w:val="004E6EFA"/>
    <w:rsid w:val="004E732C"/>
    <w:rsid w:val="004F153D"/>
    <w:rsid w:val="004F1FCA"/>
    <w:rsid w:val="004F399A"/>
    <w:rsid w:val="0050080E"/>
    <w:rsid w:val="00500A85"/>
    <w:rsid w:val="005032F6"/>
    <w:rsid w:val="00504341"/>
    <w:rsid w:val="0050435B"/>
    <w:rsid w:val="00507F4D"/>
    <w:rsid w:val="00510AE6"/>
    <w:rsid w:val="00510E8A"/>
    <w:rsid w:val="00511B29"/>
    <w:rsid w:val="00512F26"/>
    <w:rsid w:val="0051311A"/>
    <w:rsid w:val="00513AF0"/>
    <w:rsid w:val="00514095"/>
    <w:rsid w:val="00516F7C"/>
    <w:rsid w:val="00517678"/>
    <w:rsid w:val="00517E5F"/>
    <w:rsid w:val="0052151A"/>
    <w:rsid w:val="00523545"/>
    <w:rsid w:val="00525161"/>
    <w:rsid w:val="0052622D"/>
    <w:rsid w:val="00527B45"/>
    <w:rsid w:val="00530111"/>
    <w:rsid w:val="0053163F"/>
    <w:rsid w:val="00533EA2"/>
    <w:rsid w:val="005367F9"/>
    <w:rsid w:val="00536FB7"/>
    <w:rsid w:val="00537B75"/>
    <w:rsid w:val="00541EDC"/>
    <w:rsid w:val="00542732"/>
    <w:rsid w:val="00542749"/>
    <w:rsid w:val="00544D7D"/>
    <w:rsid w:val="0054526A"/>
    <w:rsid w:val="00545F3A"/>
    <w:rsid w:val="00546A9A"/>
    <w:rsid w:val="00546E14"/>
    <w:rsid w:val="005472C9"/>
    <w:rsid w:val="00547DD2"/>
    <w:rsid w:val="00554CC0"/>
    <w:rsid w:val="00555CA5"/>
    <w:rsid w:val="00556B9A"/>
    <w:rsid w:val="005602F8"/>
    <w:rsid w:val="005611AA"/>
    <w:rsid w:val="00565DC7"/>
    <w:rsid w:val="00566094"/>
    <w:rsid w:val="005671FF"/>
    <w:rsid w:val="00567419"/>
    <w:rsid w:val="005678EC"/>
    <w:rsid w:val="00567AD6"/>
    <w:rsid w:val="00570214"/>
    <w:rsid w:val="0057038F"/>
    <w:rsid w:val="0057322B"/>
    <w:rsid w:val="005742AF"/>
    <w:rsid w:val="0057443C"/>
    <w:rsid w:val="00575A31"/>
    <w:rsid w:val="00576CC0"/>
    <w:rsid w:val="00581993"/>
    <w:rsid w:val="005836AE"/>
    <w:rsid w:val="00585563"/>
    <w:rsid w:val="0058608C"/>
    <w:rsid w:val="00592946"/>
    <w:rsid w:val="00592B98"/>
    <w:rsid w:val="00593F4A"/>
    <w:rsid w:val="00595C06"/>
    <w:rsid w:val="00597B8C"/>
    <w:rsid w:val="005A0506"/>
    <w:rsid w:val="005A0B47"/>
    <w:rsid w:val="005A320A"/>
    <w:rsid w:val="005A3FD2"/>
    <w:rsid w:val="005A5DBE"/>
    <w:rsid w:val="005A7C2E"/>
    <w:rsid w:val="005B28C3"/>
    <w:rsid w:val="005B33C7"/>
    <w:rsid w:val="005B46BC"/>
    <w:rsid w:val="005B5209"/>
    <w:rsid w:val="005B7CCE"/>
    <w:rsid w:val="005B7E78"/>
    <w:rsid w:val="005C0606"/>
    <w:rsid w:val="005C1FCE"/>
    <w:rsid w:val="005C31F5"/>
    <w:rsid w:val="005C5773"/>
    <w:rsid w:val="005C5CA4"/>
    <w:rsid w:val="005C5D97"/>
    <w:rsid w:val="005C6263"/>
    <w:rsid w:val="005C6609"/>
    <w:rsid w:val="005C7705"/>
    <w:rsid w:val="005D0A6A"/>
    <w:rsid w:val="005D2FD6"/>
    <w:rsid w:val="005D3025"/>
    <w:rsid w:val="005D55FB"/>
    <w:rsid w:val="005E0361"/>
    <w:rsid w:val="005E14D4"/>
    <w:rsid w:val="005E1F5B"/>
    <w:rsid w:val="005E2B14"/>
    <w:rsid w:val="005E3241"/>
    <w:rsid w:val="005E4449"/>
    <w:rsid w:val="005E6A75"/>
    <w:rsid w:val="005E78E0"/>
    <w:rsid w:val="005E7BBF"/>
    <w:rsid w:val="005F08B0"/>
    <w:rsid w:val="005F107D"/>
    <w:rsid w:val="005F148A"/>
    <w:rsid w:val="005F4300"/>
    <w:rsid w:val="005F47B9"/>
    <w:rsid w:val="005F58E6"/>
    <w:rsid w:val="005F60BD"/>
    <w:rsid w:val="00601932"/>
    <w:rsid w:val="00604C76"/>
    <w:rsid w:val="00606C57"/>
    <w:rsid w:val="00607A19"/>
    <w:rsid w:val="00611A2A"/>
    <w:rsid w:val="00611CF4"/>
    <w:rsid w:val="00615699"/>
    <w:rsid w:val="00616EE6"/>
    <w:rsid w:val="006173DB"/>
    <w:rsid w:val="00620457"/>
    <w:rsid w:val="006212FF"/>
    <w:rsid w:val="00621CC6"/>
    <w:rsid w:val="00625082"/>
    <w:rsid w:val="00626867"/>
    <w:rsid w:val="0062729B"/>
    <w:rsid w:val="00632560"/>
    <w:rsid w:val="00634D75"/>
    <w:rsid w:val="0063797A"/>
    <w:rsid w:val="00640637"/>
    <w:rsid w:val="00640A88"/>
    <w:rsid w:val="00642028"/>
    <w:rsid w:val="00642694"/>
    <w:rsid w:val="006436BB"/>
    <w:rsid w:val="00644E00"/>
    <w:rsid w:val="00644FFE"/>
    <w:rsid w:val="00645E63"/>
    <w:rsid w:val="00646F7A"/>
    <w:rsid w:val="00647ABB"/>
    <w:rsid w:val="00650A3B"/>
    <w:rsid w:val="006534C0"/>
    <w:rsid w:val="00653B86"/>
    <w:rsid w:val="00653F9A"/>
    <w:rsid w:val="00656191"/>
    <w:rsid w:val="0065712A"/>
    <w:rsid w:val="00665A88"/>
    <w:rsid w:val="00665EBB"/>
    <w:rsid w:val="006671C1"/>
    <w:rsid w:val="00670EA1"/>
    <w:rsid w:val="00672202"/>
    <w:rsid w:val="00672750"/>
    <w:rsid w:val="00674A65"/>
    <w:rsid w:val="0067566E"/>
    <w:rsid w:val="006776AB"/>
    <w:rsid w:val="00681E70"/>
    <w:rsid w:val="00681F02"/>
    <w:rsid w:val="006825D4"/>
    <w:rsid w:val="00683ADD"/>
    <w:rsid w:val="00683B42"/>
    <w:rsid w:val="006855A4"/>
    <w:rsid w:val="00691F65"/>
    <w:rsid w:val="006926A3"/>
    <w:rsid w:val="00692A4B"/>
    <w:rsid w:val="0069343B"/>
    <w:rsid w:val="00693577"/>
    <w:rsid w:val="00694F6A"/>
    <w:rsid w:val="006962D1"/>
    <w:rsid w:val="006968E1"/>
    <w:rsid w:val="00696AFE"/>
    <w:rsid w:val="006978A0"/>
    <w:rsid w:val="006A5EE0"/>
    <w:rsid w:val="006B07FC"/>
    <w:rsid w:val="006B1B8C"/>
    <w:rsid w:val="006B23F9"/>
    <w:rsid w:val="006B2B97"/>
    <w:rsid w:val="006B34E5"/>
    <w:rsid w:val="006C2422"/>
    <w:rsid w:val="006C324D"/>
    <w:rsid w:val="006C3B7B"/>
    <w:rsid w:val="006C637C"/>
    <w:rsid w:val="006C7E12"/>
    <w:rsid w:val="006D033F"/>
    <w:rsid w:val="006D0403"/>
    <w:rsid w:val="006D08E0"/>
    <w:rsid w:val="006D3BC2"/>
    <w:rsid w:val="006D3F2E"/>
    <w:rsid w:val="006D4642"/>
    <w:rsid w:val="006E66FF"/>
    <w:rsid w:val="006E6E1D"/>
    <w:rsid w:val="006F077D"/>
    <w:rsid w:val="006F22CD"/>
    <w:rsid w:val="006F24F4"/>
    <w:rsid w:val="006F2CD2"/>
    <w:rsid w:val="006F3934"/>
    <w:rsid w:val="006F46EF"/>
    <w:rsid w:val="006F48AC"/>
    <w:rsid w:val="006F71D0"/>
    <w:rsid w:val="0070165C"/>
    <w:rsid w:val="0070223F"/>
    <w:rsid w:val="0070406F"/>
    <w:rsid w:val="0070427F"/>
    <w:rsid w:val="00705A2D"/>
    <w:rsid w:val="00706250"/>
    <w:rsid w:val="007127E0"/>
    <w:rsid w:val="00713605"/>
    <w:rsid w:val="00715AE5"/>
    <w:rsid w:val="00715DCF"/>
    <w:rsid w:val="00717CBC"/>
    <w:rsid w:val="007202CB"/>
    <w:rsid w:val="007224E6"/>
    <w:rsid w:val="0072390A"/>
    <w:rsid w:val="00725BAF"/>
    <w:rsid w:val="007269BE"/>
    <w:rsid w:val="00726E3C"/>
    <w:rsid w:val="00727A6A"/>
    <w:rsid w:val="007303E3"/>
    <w:rsid w:val="007313BC"/>
    <w:rsid w:val="007318E7"/>
    <w:rsid w:val="00735644"/>
    <w:rsid w:val="0073700A"/>
    <w:rsid w:val="00737286"/>
    <w:rsid w:val="007372E5"/>
    <w:rsid w:val="00742138"/>
    <w:rsid w:val="00743EF2"/>
    <w:rsid w:val="007448BF"/>
    <w:rsid w:val="0074546C"/>
    <w:rsid w:val="007466EF"/>
    <w:rsid w:val="00746C39"/>
    <w:rsid w:val="00746F3C"/>
    <w:rsid w:val="00747AD7"/>
    <w:rsid w:val="00763D77"/>
    <w:rsid w:val="007642EE"/>
    <w:rsid w:val="007645A3"/>
    <w:rsid w:val="00770223"/>
    <w:rsid w:val="0077122C"/>
    <w:rsid w:val="007712BE"/>
    <w:rsid w:val="0077322C"/>
    <w:rsid w:val="00773D5C"/>
    <w:rsid w:val="00774243"/>
    <w:rsid w:val="00774538"/>
    <w:rsid w:val="0077645C"/>
    <w:rsid w:val="00781FDC"/>
    <w:rsid w:val="00791BAE"/>
    <w:rsid w:val="00792F26"/>
    <w:rsid w:val="00792FF6"/>
    <w:rsid w:val="00794037"/>
    <w:rsid w:val="007942C0"/>
    <w:rsid w:val="007A0708"/>
    <w:rsid w:val="007A201D"/>
    <w:rsid w:val="007A2A4B"/>
    <w:rsid w:val="007A644F"/>
    <w:rsid w:val="007A749B"/>
    <w:rsid w:val="007B0910"/>
    <w:rsid w:val="007B1754"/>
    <w:rsid w:val="007B3AE9"/>
    <w:rsid w:val="007B69DA"/>
    <w:rsid w:val="007B7516"/>
    <w:rsid w:val="007C0BDB"/>
    <w:rsid w:val="007C295B"/>
    <w:rsid w:val="007C30B2"/>
    <w:rsid w:val="007C3A8F"/>
    <w:rsid w:val="007C4423"/>
    <w:rsid w:val="007C6098"/>
    <w:rsid w:val="007C60F3"/>
    <w:rsid w:val="007C73FC"/>
    <w:rsid w:val="007C75A2"/>
    <w:rsid w:val="007D00CC"/>
    <w:rsid w:val="007D0674"/>
    <w:rsid w:val="007D09E4"/>
    <w:rsid w:val="007D0A20"/>
    <w:rsid w:val="007D30A0"/>
    <w:rsid w:val="007D56B4"/>
    <w:rsid w:val="007D6101"/>
    <w:rsid w:val="007D63F6"/>
    <w:rsid w:val="007E11BB"/>
    <w:rsid w:val="007E1B18"/>
    <w:rsid w:val="007E2E78"/>
    <w:rsid w:val="007E545B"/>
    <w:rsid w:val="007E5CE2"/>
    <w:rsid w:val="007E5CE8"/>
    <w:rsid w:val="007E654C"/>
    <w:rsid w:val="007E7D0D"/>
    <w:rsid w:val="007E7E7E"/>
    <w:rsid w:val="007F09EF"/>
    <w:rsid w:val="007F1520"/>
    <w:rsid w:val="007F264D"/>
    <w:rsid w:val="007F29DB"/>
    <w:rsid w:val="007F2F78"/>
    <w:rsid w:val="007F40AD"/>
    <w:rsid w:val="007F5BF1"/>
    <w:rsid w:val="007F6835"/>
    <w:rsid w:val="007F736B"/>
    <w:rsid w:val="007F7992"/>
    <w:rsid w:val="00800FFE"/>
    <w:rsid w:val="008020A3"/>
    <w:rsid w:val="00804AFD"/>
    <w:rsid w:val="00806CA5"/>
    <w:rsid w:val="00815788"/>
    <w:rsid w:val="008177C1"/>
    <w:rsid w:val="00817F35"/>
    <w:rsid w:val="0082078F"/>
    <w:rsid w:val="00823517"/>
    <w:rsid w:val="00824772"/>
    <w:rsid w:val="00824CBA"/>
    <w:rsid w:val="00824F69"/>
    <w:rsid w:val="008251C3"/>
    <w:rsid w:val="00827343"/>
    <w:rsid w:val="0082773A"/>
    <w:rsid w:val="00827C7D"/>
    <w:rsid w:val="00831F49"/>
    <w:rsid w:val="008327E8"/>
    <w:rsid w:val="00832F29"/>
    <w:rsid w:val="00833C3A"/>
    <w:rsid w:val="0083487D"/>
    <w:rsid w:val="008350E7"/>
    <w:rsid w:val="00835902"/>
    <w:rsid w:val="00835C91"/>
    <w:rsid w:val="00835FDE"/>
    <w:rsid w:val="00836EE7"/>
    <w:rsid w:val="00837A48"/>
    <w:rsid w:val="00841945"/>
    <w:rsid w:val="0085253C"/>
    <w:rsid w:val="008527EE"/>
    <w:rsid w:val="008546D5"/>
    <w:rsid w:val="00854A3C"/>
    <w:rsid w:val="00855051"/>
    <w:rsid w:val="0085534C"/>
    <w:rsid w:val="0085728F"/>
    <w:rsid w:val="008608AA"/>
    <w:rsid w:val="008652E8"/>
    <w:rsid w:val="0086674A"/>
    <w:rsid w:val="008671EA"/>
    <w:rsid w:val="008676DE"/>
    <w:rsid w:val="00870D17"/>
    <w:rsid w:val="0087223E"/>
    <w:rsid w:val="00872691"/>
    <w:rsid w:val="00872B58"/>
    <w:rsid w:val="00873524"/>
    <w:rsid w:val="00873F90"/>
    <w:rsid w:val="0087519D"/>
    <w:rsid w:val="008768E6"/>
    <w:rsid w:val="00881A64"/>
    <w:rsid w:val="00881AE6"/>
    <w:rsid w:val="00881BEC"/>
    <w:rsid w:val="00881E1F"/>
    <w:rsid w:val="00884653"/>
    <w:rsid w:val="008861ED"/>
    <w:rsid w:val="00886244"/>
    <w:rsid w:val="00891741"/>
    <w:rsid w:val="0089270C"/>
    <w:rsid w:val="00892B1A"/>
    <w:rsid w:val="00894B77"/>
    <w:rsid w:val="00895D97"/>
    <w:rsid w:val="008A00DF"/>
    <w:rsid w:val="008A0642"/>
    <w:rsid w:val="008A29B8"/>
    <w:rsid w:val="008A2E48"/>
    <w:rsid w:val="008A6401"/>
    <w:rsid w:val="008B0B60"/>
    <w:rsid w:val="008B2228"/>
    <w:rsid w:val="008B2801"/>
    <w:rsid w:val="008B2A19"/>
    <w:rsid w:val="008B35AE"/>
    <w:rsid w:val="008B3BA1"/>
    <w:rsid w:val="008B4122"/>
    <w:rsid w:val="008B41E7"/>
    <w:rsid w:val="008B4E7E"/>
    <w:rsid w:val="008B50F8"/>
    <w:rsid w:val="008B6353"/>
    <w:rsid w:val="008B6C0A"/>
    <w:rsid w:val="008B7B64"/>
    <w:rsid w:val="008C06FE"/>
    <w:rsid w:val="008C1F97"/>
    <w:rsid w:val="008C4DF9"/>
    <w:rsid w:val="008C65CA"/>
    <w:rsid w:val="008C69DD"/>
    <w:rsid w:val="008D14AD"/>
    <w:rsid w:val="008D1995"/>
    <w:rsid w:val="008D2D3B"/>
    <w:rsid w:val="008D33CD"/>
    <w:rsid w:val="008D3A84"/>
    <w:rsid w:val="008D3D6F"/>
    <w:rsid w:val="008D4A7D"/>
    <w:rsid w:val="008D70D0"/>
    <w:rsid w:val="008E0D43"/>
    <w:rsid w:val="008E1B36"/>
    <w:rsid w:val="008E201A"/>
    <w:rsid w:val="008E2282"/>
    <w:rsid w:val="008E3D4E"/>
    <w:rsid w:val="008E5A96"/>
    <w:rsid w:val="008F1419"/>
    <w:rsid w:val="008F2FC4"/>
    <w:rsid w:val="008F333D"/>
    <w:rsid w:val="008F733D"/>
    <w:rsid w:val="008F7FE3"/>
    <w:rsid w:val="0090036B"/>
    <w:rsid w:val="00904CFB"/>
    <w:rsid w:val="00904F18"/>
    <w:rsid w:val="00907B80"/>
    <w:rsid w:val="009109AD"/>
    <w:rsid w:val="009115DD"/>
    <w:rsid w:val="00913CC0"/>
    <w:rsid w:val="009147B1"/>
    <w:rsid w:val="00914903"/>
    <w:rsid w:val="009157F1"/>
    <w:rsid w:val="00915F42"/>
    <w:rsid w:val="009175BE"/>
    <w:rsid w:val="009178E8"/>
    <w:rsid w:val="00917BE0"/>
    <w:rsid w:val="009203FB"/>
    <w:rsid w:val="009205A6"/>
    <w:rsid w:val="00921CC4"/>
    <w:rsid w:val="009237A8"/>
    <w:rsid w:val="00924106"/>
    <w:rsid w:val="00924845"/>
    <w:rsid w:val="009254FD"/>
    <w:rsid w:val="00925F2F"/>
    <w:rsid w:val="00926044"/>
    <w:rsid w:val="00926511"/>
    <w:rsid w:val="00926BE0"/>
    <w:rsid w:val="00927750"/>
    <w:rsid w:val="00930F77"/>
    <w:rsid w:val="009317EB"/>
    <w:rsid w:val="00933DBD"/>
    <w:rsid w:val="00934D0F"/>
    <w:rsid w:val="00935648"/>
    <w:rsid w:val="00935A9C"/>
    <w:rsid w:val="00937AE5"/>
    <w:rsid w:val="0094051A"/>
    <w:rsid w:val="0094281F"/>
    <w:rsid w:val="009435BD"/>
    <w:rsid w:val="00945B37"/>
    <w:rsid w:val="00947206"/>
    <w:rsid w:val="0094796A"/>
    <w:rsid w:val="0095305E"/>
    <w:rsid w:val="00954DE3"/>
    <w:rsid w:val="00955035"/>
    <w:rsid w:val="00957ED8"/>
    <w:rsid w:val="00960918"/>
    <w:rsid w:val="0096385F"/>
    <w:rsid w:val="009648B8"/>
    <w:rsid w:val="00964B46"/>
    <w:rsid w:val="00964EC0"/>
    <w:rsid w:val="009702B4"/>
    <w:rsid w:val="00970C29"/>
    <w:rsid w:val="00970E39"/>
    <w:rsid w:val="00970EC4"/>
    <w:rsid w:val="00970F89"/>
    <w:rsid w:val="009758A6"/>
    <w:rsid w:val="00975E4C"/>
    <w:rsid w:val="00976AF2"/>
    <w:rsid w:val="00983261"/>
    <w:rsid w:val="00986ED8"/>
    <w:rsid w:val="00992901"/>
    <w:rsid w:val="009929F0"/>
    <w:rsid w:val="009944E2"/>
    <w:rsid w:val="00996002"/>
    <w:rsid w:val="00996E2E"/>
    <w:rsid w:val="009A288D"/>
    <w:rsid w:val="009A3079"/>
    <w:rsid w:val="009A36CD"/>
    <w:rsid w:val="009A392F"/>
    <w:rsid w:val="009A475B"/>
    <w:rsid w:val="009A596B"/>
    <w:rsid w:val="009A6296"/>
    <w:rsid w:val="009A6F8A"/>
    <w:rsid w:val="009B03B3"/>
    <w:rsid w:val="009B1322"/>
    <w:rsid w:val="009B2BDA"/>
    <w:rsid w:val="009B3CC8"/>
    <w:rsid w:val="009C030B"/>
    <w:rsid w:val="009C4F02"/>
    <w:rsid w:val="009C51AA"/>
    <w:rsid w:val="009C5C83"/>
    <w:rsid w:val="009C651E"/>
    <w:rsid w:val="009C6D0C"/>
    <w:rsid w:val="009D0146"/>
    <w:rsid w:val="009D0F9D"/>
    <w:rsid w:val="009D19DF"/>
    <w:rsid w:val="009D1D55"/>
    <w:rsid w:val="009D30B1"/>
    <w:rsid w:val="009D3187"/>
    <w:rsid w:val="009D3421"/>
    <w:rsid w:val="009D3C66"/>
    <w:rsid w:val="009D4406"/>
    <w:rsid w:val="009D4F46"/>
    <w:rsid w:val="009D50EE"/>
    <w:rsid w:val="009D53DE"/>
    <w:rsid w:val="009D5691"/>
    <w:rsid w:val="009D5C8C"/>
    <w:rsid w:val="009E0DBC"/>
    <w:rsid w:val="009E1901"/>
    <w:rsid w:val="009E3F40"/>
    <w:rsid w:val="009E7AD9"/>
    <w:rsid w:val="009F0254"/>
    <w:rsid w:val="009F0C7C"/>
    <w:rsid w:val="009F3329"/>
    <w:rsid w:val="009F4055"/>
    <w:rsid w:val="009F4547"/>
    <w:rsid w:val="009F5D2B"/>
    <w:rsid w:val="009F5E8F"/>
    <w:rsid w:val="009F6B5D"/>
    <w:rsid w:val="00A005F1"/>
    <w:rsid w:val="00A01981"/>
    <w:rsid w:val="00A04447"/>
    <w:rsid w:val="00A05AA6"/>
    <w:rsid w:val="00A07157"/>
    <w:rsid w:val="00A07ACD"/>
    <w:rsid w:val="00A10B1C"/>
    <w:rsid w:val="00A1345A"/>
    <w:rsid w:val="00A14447"/>
    <w:rsid w:val="00A155A1"/>
    <w:rsid w:val="00A16853"/>
    <w:rsid w:val="00A16A54"/>
    <w:rsid w:val="00A17539"/>
    <w:rsid w:val="00A20265"/>
    <w:rsid w:val="00A21645"/>
    <w:rsid w:val="00A21962"/>
    <w:rsid w:val="00A26660"/>
    <w:rsid w:val="00A31679"/>
    <w:rsid w:val="00A319F6"/>
    <w:rsid w:val="00A3244D"/>
    <w:rsid w:val="00A33F76"/>
    <w:rsid w:val="00A345AD"/>
    <w:rsid w:val="00A34875"/>
    <w:rsid w:val="00A35C3C"/>
    <w:rsid w:val="00A36EB5"/>
    <w:rsid w:val="00A36F06"/>
    <w:rsid w:val="00A4586B"/>
    <w:rsid w:val="00A47E8A"/>
    <w:rsid w:val="00A502AA"/>
    <w:rsid w:val="00A506D0"/>
    <w:rsid w:val="00A53618"/>
    <w:rsid w:val="00A53707"/>
    <w:rsid w:val="00A53742"/>
    <w:rsid w:val="00A54934"/>
    <w:rsid w:val="00A5567F"/>
    <w:rsid w:val="00A55947"/>
    <w:rsid w:val="00A60185"/>
    <w:rsid w:val="00A6163F"/>
    <w:rsid w:val="00A65AB9"/>
    <w:rsid w:val="00A65E42"/>
    <w:rsid w:val="00A6639E"/>
    <w:rsid w:val="00A66534"/>
    <w:rsid w:val="00A66ED7"/>
    <w:rsid w:val="00A67100"/>
    <w:rsid w:val="00A67E5C"/>
    <w:rsid w:val="00A70F1B"/>
    <w:rsid w:val="00A72AA4"/>
    <w:rsid w:val="00A72D0C"/>
    <w:rsid w:val="00A737D7"/>
    <w:rsid w:val="00A75FF7"/>
    <w:rsid w:val="00A77B21"/>
    <w:rsid w:val="00A808AF"/>
    <w:rsid w:val="00A80F17"/>
    <w:rsid w:val="00A8273E"/>
    <w:rsid w:val="00A82B64"/>
    <w:rsid w:val="00A8318F"/>
    <w:rsid w:val="00A838E7"/>
    <w:rsid w:val="00A8514D"/>
    <w:rsid w:val="00A87256"/>
    <w:rsid w:val="00A8777B"/>
    <w:rsid w:val="00A9005F"/>
    <w:rsid w:val="00A917F2"/>
    <w:rsid w:val="00A92CC9"/>
    <w:rsid w:val="00A92E1A"/>
    <w:rsid w:val="00A92EB5"/>
    <w:rsid w:val="00A97121"/>
    <w:rsid w:val="00AA16F4"/>
    <w:rsid w:val="00AA3067"/>
    <w:rsid w:val="00AA4460"/>
    <w:rsid w:val="00AB166D"/>
    <w:rsid w:val="00AB18A0"/>
    <w:rsid w:val="00AB2560"/>
    <w:rsid w:val="00AB3448"/>
    <w:rsid w:val="00AB553A"/>
    <w:rsid w:val="00AB5F2E"/>
    <w:rsid w:val="00AB631D"/>
    <w:rsid w:val="00AB634A"/>
    <w:rsid w:val="00AC1375"/>
    <w:rsid w:val="00AC2263"/>
    <w:rsid w:val="00AC2582"/>
    <w:rsid w:val="00AC2B9E"/>
    <w:rsid w:val="00AC2F5F"/>
    <w:rsid w:val="00AC4789"/>
    <w:rsid w:val="00AC4A55"/>
    <w:rsid w:val="00AD23FB"/>
    <w:rsid w:val="00AD2559"/>
    <w:rsid w:val="00AD3BAC"/>
    <w:rsid w:val="00AD425D"/>
    <w:rsid w:val="00AD49C2"/>
    <w:rsid w:val="00AD500C"/>
    <w:rsid w:val="00AD5A17"/>
    <w:rsid w:val="00AD7EF1"/>
    <w:rsid w:val="00AE3793"/>
    <w:rsid w:val="00AE5573"/>
    <w:rsid w:val="00AE6EE5"/>
    <w:rsid w:val="00AE73ED"/>
    <w:rsid w:val="00AF15C9"/>
    <w:rsid w:val="00AF3243"/>
    <w:rsid w:val="00AF3313"/>
    <w:rsid w:val="00AF3F74"/>
    <w:rsid w:val="00AF4829"/>
    <w:rsid w:val="00AF712A"/>
    <w:rsid w:val="00AF7191"/>
    <w:rsid w:val="00AF7267"/>
    <w:rsid w:val="00B02230"/>
    <w:rsid w:val="00B022B0"/>
    <w:rsid w:val="00B027CA"/>
    <w:rsid w:val="00B02BAD"/>
    <w:rsid w:val="00B04ED9"/>
    <w:rsid w:val="00B10896"/>
    <w:rsid w:val="00B11872"/>
    <w:rsid w:val="00B12151"/>
    <w:rsid w:val="00B14416"/>
    <w:rsid w:val="00B14E7E"/>
    <w:rsid w:val="00B14EFB"/>
    <w:rsid w:val="00B14FFE"/>
    <w:rsid w:val="00B15460"/>
    <w:rsid w:val="00B15AAC"/>
    <w:rsid w:val="00B16723"/>
    <w:rsid w:val="00B169DF"/>
    <w:rsid w:val="00B2051F"/>
    <w:rsid w:val="00B21610"/>
    <w:rsid w:val="00B21DBC"/>
    <w:rsid w:val="00B2203B"/>
    <w:rsid w:val="00B231B1"/>
    <w:rsid w:val="00B23F16"/>
    <w:rsid w:val="00B244D9"/>
    <w:rsid w:val="00B26940"/>
    <w:rsid w:val="00B307EA"/>
    <w:rsid w:val="00B336FF"/>
    <w:rsid w:val="00B3466A"/>
    <w:rsid w:val="00B3529C"/>
    <w:rsid w:val="00B37670"/>
    <w:rsid w:val="00B37B94"/>
    <w:rsid w:val="00B37C8B"/>
    <w:rsid w:val="00B419DC"/>
    <w:rsid w:val="00B429A1"/>
    <w:rsid w:val="00B45132"/>
    <w:rsid w:val="00B45CF7"/>
    <w:rsid w:val="00B45EA9"/>
    <w:rsid w:val="00B4795C"/>
    <w:rsid w:val="00B47FCC"/>
    <w:rsid w:val="00B53FF5"/>
    <w:rsid w:val="00B559E4"/>
    <w:rsid w:val="00B55AE0"/>
    <w:rsid w:val="00B55BDD"/>
    <w:rsid w:val="00B561DD"/>
    <w:rsid w:val="00B60707"/>
    <w:rsid w:val="00B60889"/>
    <w:rsid w:val="00B60911"/>
    <w:rsid w:val="00B61568"/>
    <w:rsid w:val="00B64178"/>
    <w:rsid w:val="00B6517E"/>
    <w:rsid w:val="00B65A16"/>
    <w:rsid w:val="00B66376"/>
    <w:rsid w:val="00B676E7"/>
    <w:rsid w:val="00B67C32"/>
    <w:rsid w:val="00B7110B"/>
    <w:rsid w:val="00B755B6"/>
    <w:rsid w:val="00B80CA0"/>
    <w:rsid w:val="00B8194B"/>
    <w:rsid w:val="00B824DE"/>
    <w:rsid w:val="00B84157"/>
    <w:rsid w:val="00B864D1"/>
    <w:rsid w:val="00B868CC"/>
    <w:rsid w:val="00B8795D"/>
    <w:rsid w:val="00B879ED"/>
    <w:rsid w:val="00B9200B"/>
    <w:rsid w:val="00B92037"/>
    <w:rsid w:val="00B922A5"/>
    <w:rsid w:val="00B93C89"/>
    <w:rsid w:val="00BA0732"/>
    <w:rsid w:val="00BA19A4"/>
    <w:rsid w:val="00BA2D4C"/>
    <w:rsid w:val="00BA488A"/>
    <w:rsid w:val="00BA72DF"/>
    <w:rsid w:val="00BA7D11"/>
    <w:rsid w:val="00BB0A3E"/>
    <w:rsid w:val="00BB24C3"/>
    <w:rsid w:val="00BB42CA"/>
    <w:rsid w:val="00BB57BB"/>
    <w:rsid w:val="00BB6EEF"/>
    <w:rsid w:val="00BB720E"/>
    <w:rsid w:val="00BC152B"/>
    <w:rsid w:val="00BC39FD"/>
    <w:rsid w:val="00BC4FA1"/>
    <w:rsid w:val="00BC58D9"/>
    <w:rsid w:val="00BC59D4"/>
    <w:rsid w:val="00BC637D"/>
    <w:rsid w:val="00BC7EF2"/>
    <w:rsid w:val="00BD00D9"/>
    <w:rsid w:val="00BD081A"/>
    <w:rsid w:val="00BD229C"/>
    <w:rsid w:val="00BD467C"/>
    <w:rsid w:val="00BE184B"/>
    <w:rsid w:val="00BE21AB"/>
    <w:rsid w:val="00BE3335"/>
    <w:rsid w:val="00BE5380"/>
    <w:rsid w:val="00BE66E4"/>
    <w:rsid w:val="00BE6D9F"/>
    <w:rsid w:val="00BE78C7"/>
    <w:rsid w:val="00BF0D11"/>
    <w:rsid w:val="00BF14C6"/>
    <w:rsid w:val="00BF1A6D"/>
    <w:rsid w:val="00BF1AD2"/>
    <w:rsid w:val="00BF6618"/>
    <w:rsid w:val="00C01F04"/>
    <w:rsid w:val="00C02C58"/>
    <w:rsid w:val="00C03985"/>
    <w:rsid w:val="00C056A5"/>
    <w:rsid w:val="00C0734E"/>
    <w:rsid w:val="00C079FF"/>
    <w:rsid w:val="00C10403"/>
    <w:rsid w:val="00C12F7F"/>
    <w:rsid w:val="00C13085"/>
    <w:rsid w:val="00C1447A"/>
    <w:rsid w:val="00C144DF"/>
    <w:rsid w:val="00C15961"/>
    <w:rsid w:val="00C15C64"/>
    <w:rsid w:val="00C1635F"/>
    <w:rsid w:val="00C16F38"/>
    <w:rsid w:val="00C2085F"/>
    <w:rsid w:val="00C20B0C"/>
    <w:rsid w:val="00C22BB6"/>
    <w:rsid w:val="00C23D9A"/>
    <w:rsid w:val="00C23E8B"/>
    <w:rsid w:val="00C25A57"/>
    <w:rsid w:val="00C266AC"/>
    <w:rsid w:val="00C271C9"/>
    <w:rsid w:val="00C300E2"/>
    <w:rsid w:val="00C3322B"/>
    <w:rsid w:val="00C3368E"/>
    <w:rsid w:val="00C34207"/>
    <w:rsid w:val="00C35993"/>
    <w:rsid w:val="00C36ECE"/>
    <w:rsid w:val="00C37959"/>
    <w:rsid w:val="00C40F6F"/>
    <w:rsid w:val="00C41778"/>
    <w:rsid w:val="00C41FE9"/>
    <w:rsid w:val="00C428E4"/>
    <w:rsid w:val="00C435D8"/>
    <w:rsid w:val="00C454C9"/>
    <w:rsid w:val="00C455F1"/>
    <w:rsid w:val="00C45BE1"/>
    <w:rsid w:val="00C45F4F"/>
    <w:rsid w:val="00C46C37"/>
    <w:rsid w:val="00C471C1"/>
    <w:rsid w:val="00C479EF"/>
    <w:rsid w:val="00C47CF2"/>
    <w:rsid w:val="00C506A6"/>
    <w:rsid w:val="00C514DE"/>
    <w:rsid w:val="00C51AB3"/>
    <w:rsid w:val="00C546C8"/>
    <w:rsid w:val="00C57D0B"/>
    <w:rsid w:val="00C57EB2"/>
    <w:rsid w:val="00C61AE1"/>
    <w:rsid w:val="00C63F9F"/>
    <w:rsid w:val="00C643C8"/>
    <w:rsid w:val="00C64852"/>
    <w:rsid w:val="00C64D5E"/>
    <w:rsid w:val="00C6535A"/>
    <w:rsid w:val="00C661A0"/>
    <w:rsid w:val="00C66418"/>
    <w:rsid w:val="00C66B56"/>
    <w:rsid w:val="00C66DEC"/>
    <w:rsid w:val="00C66DF3"/>
    <w:rsid w:val="00C72CDF"/>
    <w:rsid w:val="00C72FE1"/>
    <w:rsid w:val="00C73B3A"/>
    <w:rsid w:val="00C746EA"/>
    <w:rsid w:val="00C764E9"/>
    <w:rsid w:val="00C766C1"/>
    <w:rsid w:val="00C8041C"/>
    <w:rsid w:val="00C8164A"/>
    <w:rsid w:val="00C85B11"/>
    <w:rsid w:val="00C86977"/>
    <w:rsid w:val="00C90761"/>
    <w:rsid w:val="00C9108D"/>
    <w:rsid w:val="00C93156"/>
    <w:rsid w:val="00C93F2D"/>
    <w:rsid w:val="00C949CB"/>
    <w:rsid w:val="00CA0233"/>
    <w:rsid w:val="00CA047A"/>
    <w:rsid w:val="00CA069D"/>
    <w:rsid w:val="00CA089F"/>
    <w:rsid w:val="00CA1CB2"/>
    <w:rsid w:val="00CA3999"/>
    <w:rsid w:val="00CA4426"/>
    <w:rsid w:val="00CA4849"/>
    <w:rsid w:val="00CA4E73"/>
    <w:rsid w:val="00CA6AB0"/>
    <w:rsid w:val="00CA7632"/>
    <w:rsid w:val="00CB1088"/>
    <w:rsid w:val="00CB1637"/>
    <w:rsid w:val="00CB1EE0"/>
    <w:rsid w:val="00CB5A11"/>
    <w:rsid w:val="00CB6F48"/>
    <w:rsid w:val="00CB7897"/>
    <w:rsid w:val="00CB7F05"/>
    <w:rsid w:val="00CC0FBD"/>
    <w:rsid w:val="00CC2CDE"/>
    <w:rsid w:val="00CC354F"/>
    <w:rsid w:val="00CC4C7F"/>
    <w:rsid w:val="00CC516D"/>
    <w:rsid w:val="00CC5BAE"/>
    <w:rsid w:val="00CC6382"/>
    <w:rsid w:val="00CC7F6A"/>
    <w:rsid w:val="00CD009E"/>
    <w:rsid w:val="00CD091C"/>
    <w:rsid w:val="00CD1A51"/>
    <w:rsid w:val="00CD2E89"/>
    <w:rsid w:val="00CD32C6"/>
    <w:rsid w:val="00CD3C15"/>
    <w:rsid w:val="00CD4A5E"/>
    <w:rsid w:val="00CD4E55"/>
    <w:rsid w:val="00CD7280"/>
    <w:rsid w:val="00CE0460"/>
    <w:rsid w:val="00CE048D"/>
    <w:rsid w:val="00CE1528"/>
    <w:rsid w:val="00CE2659"/>
    <w:rsid w:val="00CE2ACA"/>
    <w:rsid w:val="00CE3775"/>
    <w:rsid w:val="00CE5CA0"/>
    <w:rsid w:val="00CE6E5D"/>
    <w:rsid w:val="00CE7F36"/>
    <w:rsid w:val="00CF0552"/>
    <w:rsid w:val="00CF0A7C"/>
    <w:rsid w:val="00CF0AEB"/>
    <w:rsid w:val="00CF298E"/>
    <w:rsid w:val="00D0017B"/>
    <w:rsid w:val="00D01C45"/>
    <w:rsid w:val="00D02C4F"/>
    <w:rsid w:val="00D04BDC"/>
    <w:rsid w:val="00D04FC9"/>
    <w:rsid w:val="00D05B11"/>
    <w:rsid w:val="00D062F2"/>
    <w:rsid w:val="00D1023D"/>
    <w:rsid w:val="00D1025A"/>
    <w:rsid w:val="00D10AEF"/>
    <w:rsid w:val="00D15EFE"/>
    <w:rsid w:val="00D17A4C"/>
    <w:rsid w:val="00D210D4"/>
    <w:rsid w:val="00D222CB"/>
    <w:rsid w:val="00D2414C"/>
    <w:rsid w:val="00D307FA"/>
    <w:rsid w:val="00D3086D"/>
    <w:rsid w:val="00D30CB7"/>
    <w:rsid w:val="00D31A7A"/>
    <w:rsid w:val="00D32791"/>
    <w:rsid w:val="00D32C46"/>
    <w:rsid w:val="00D331EA"/>
    <w:rsid w:val="00D35711"/>
    <w:rsid w:val="00D3642D"/>
    <w:rsid w:val="00D3694F"/>
    <w:rsid w:val="00D37C91"/>
    <w:rsid w:val="00D40100"/>
    <w:rsid w:val="00D41AB8"/>
    <w:rsid w:val="00D42EEB"/>
    <w:rsid w:val="00D43A3E"/>
    <w:rsid w:val="00D44B19"/>
    <w:rsid w:val="00D452CF"/>
    <w:rsid w:val="00D4749C"/>
    <w:rsid w:val="00D503B1"/>
    <w:rsid w:val="00D52EBF"/>
    <w:rsid w:val="00D538EF"/>
    <w:rsid w:val="00D54E2B"/>
    <w:rsid w:val="00D55945"/>
    <w:rsid w:val="00D57D1A"/>
    <w:rsid w:val="00D6218D"/>
    <w:rsid w:val="00D62D8D"/>
    <w:rsid w:val="00D63B9E"/>
    <w:rsid w:val="00D63D9F"/>
    <w:rsid w:val="00D641EF"/>
    <w:rsid w:val="00D664C1"/>
    <w:rsid w:val="00D719EB"/>
    <w:rsid w:val="00D739FE"/>
    <w:rsid w:val="00D7715A"/>
    <w:rsid w:val="00D77244"/>
    <w:rsid w:val="00D77973"/>
    <w:rsid w:val="00D77AA5"/>
    <w:rsid w:val="00D80462"/>
    <w:rsid w:val="00D81F49"/>
    <w:rsid w:val="00D91959"/>
    <w:rsid w:val="00D92573"/>
    <w:rsid w:val="00D9279B"/>
    <w:rsid w:val="00D92EA5"/>
    <w:rsid w:val="00D931DE"/>
    <w:rsid w:val="00D943DD"/>
    <w:rsid w:val="00D95454"/>
    <w:rsid w:val="00D95A0F"/>
    <w:rsid w:val="00D96764"/>
    <w:rsid w:val="00D97246"/>
    <w:rsid w:val="00D97AD0"/>
    <w:rsid w:val="00DA083E"/>
    <w:rsid w:val="00DA3695"/>
    <w:rsid w:val="00DA3C01"/>
    <w:rsid w:val="00DA547B"/>
    <w:rsid w:val="00DA68B6"/>
    <w:rsid w:val="00DA7379"/>
    <w:rsid w:val="00DB0D10"/>
    <w:rsid w:val="00DB14D1"/>
    <w:rsid w:val="00DB1584"/>
    <w:rsid w:val="00DB4C80"/>
    <w:rsid w:val="00DC0501"/>
    <w:rsid w:val="00DC1C7A"/>
    <w:rsid w:val="00DC2B92"/>
    <w:rsid w:val="00DC3731"/>
    <w:rsid w:val="00DC6994"/>
    <w:rsid w:val="00DC7108"/>
    <w:rsid w:val="00DD0542"/>
    <w:rsid w:val="00DD5BAB"/>
    <w:rsid w:val="00DD77DF"/>
    <w:rsid w:val="00DE323A"/>
    <w:rsid w:val="00DE3D63"/>
    <w:rsid w:val="00DF0A8A"/>
    <w:rsid w:val="00DF0E25"/>
    <w:rsid w:val="00DF1E18"/>
    <w:rsid w:val="00DF212A"/>
    <w:rsid w:val="00DF2908"/>
    <w:rsid w:val="00DF6F1B"/>
    <w:rsid w:val="00E001E0"/>
    <w:rsid w:val="00E00C51"/>
    <w:rsid w:val="00E012AA"/>
    <w:rsid w:val="00E02036"/>
    <w:rsid w:val="00E02978"/>
    <w:rsid w:val="00E03B39"/>
    <w:rsid w:val="00E04080"/>
    <w:rsid w:val="00E10CD0"/>
    <w:rsid w:val="00E12D0D"/>
    <w:rsid w:val="00E13A39"/>
    <w:rsid w:val="00E13D66"/>
    <w:rsid w:val="00E1431D"/>
    <w:rsid w:val="00E14BA6"/>
    <w:rsid w:val="00E20074"/>
    <w:rsid w:val="00E200CE"/>
    <w:rsid w:val="00E20588"/>
    <w:rsid w:val="00E20C4D"/>
    <w:rsid w:val="00E2160D"/>
    <w:rsid w:val="00E22551"/>
    <w:rsid w:val="00E2262A"/>
    <w:rsid w:val="00E234E2"/>
    <w:rsid w:val="00E3187B"/>
    <w:rsid w:val="00E3344A"/>
    <w:rsid w:val="00E33A18"/>
    <w:rsid w:val="00E3460A"/>
    <w:rsid w:val="00E3472F"/>
    <w:rsid w:val="00E349B6"/>
    <w:rsid w:val="00E34D51"/>
    <w:rsid w:val="00E37E71"/>
    <w:rsid w:val="00E408A0"/>
    <w:rsid w:val="00E44202"/>
    <w:rsid w:val="00E44F87"/>
    <w:rsid w:val="00E45078"/>
    <w:rsid w:val="00E460D3"/>
    <w:rsid w:val="00E467A1"/>
    <w:rsid w:val="00E478FC"/>
    <w:rsid w:val="00E52CA0"/>
    <w:rsid w:val="00E53ADD"/>
    <w:rsid w:val="00E551E9"/>
    <w:rsid w:val="00E57261"/>
    <w:rsid w:val="00E6365B"/>
    <w:rsid w:val="00E64B29"/>
    <w:rsid w:val="00E6710B"/>
    <w:rsid w:val="00E67D25"/>
    <w:rsid w:val="00E70309"/>
    <w:rsid w:val="00E74973"/>
    <w:rsid w:val="00E74C1F"/>
    <w:rsid w:val="00E7602C"/>
    <w:rsid w:val="00E82288"/>
    <w:rsid w:val="00E82335"/>
    <w:rsid w:val="00E83518"/>
    <w:rsid w:val="00E87B0E"/>
    <w:rsid w:val="00E91C4F"/>
    <w:rsid w:val="00E94FDB"/>
    <w:rsid w:val="00E9785E"/>
    <w:rsid w:val="00EA1308"/>
    <w:rsid w:val="00EA2398"/>
    <w:rsid w:val="00EA29C8"/>
    <w:rsid w:val="00EA3C28"/>
    <w:rsid w:val="00EA3CFE"/>
    <w:rsid w:val="00EA45EF"/>
    <w:rsid w:val="00EA629D"/>
    <w:rsid w:val="00EA6328"/>
    <w:rsid w:val="00EA7534"/>
    <w:rsid w:val="00EA79DE"/>
    <w:rsid w:val="00EA7A44"/>
    <w:rsid w:val="00EA7CDA"/>
    <w:rsid w:val="00EB5A68"/>
    <w:rsid w:val="00EC10AE"/>
    <w:rsid w:val="00EC184F"/>
    <w:rsid w:val="00EC3F01"/>
    <w:rsid w:val="00EC405B"/>
    <w:rsid w:val="00EC48B3"/>
    <w:rsid w:val="00EC5C53"/>
    <w:rsid w:val="00EC5D4B"/>
    <w:rsid w:val="00EC5E4A"/>
    <w:rsid w:val="00EC641A"/>
    <w:rsid w:val="00EC67B0"/>
    <w:rsid w:val="00EC7208"/>
    <w:rsid w:val="00EC7600"/>
    <w:rsid w:val="00EC7D8A"/>
    <w:rsid w:val="00ED0093"/>
    <w:rsid w:val="00ED268D"/>
    <w:rsid w:val="00ED4D8F"/>
    <w:rsid w:val="00ED5377"/>
    <w:rsid w:val="00ED5B95"/>
    <w:rsid w:val="00ED68B4"/>
    <w:rsid w:val="00ED6DE8"/>
    <w:rsid w:val="00ED7FFB"/>
    <w:rsid w:val="00EE10FC"/>
    <w:rsid w:val="00EE32AE"/>
    <w:rsid w:val="00EE3DBC"/>
    <w:rsid w:val="00EE4137"/>
    <w:rsid w:val="00EE4A11"/>
    <w:rsid w:val="00EE5052"/>
    <w:rsid w:val="00EE5B43"/>
    <w:rsid w:val="00EE61DD"/>
    <w:rsid w:val="00EE6AE4"/>
    <w:rsid w:val="00EE719B"/>
    <w:rsid w:val="00EF5639"/>
    <w:rsid w:val="00EF62CC"/>
    <w:rsid w:val="00EF7A05"/>
    <w:rsid w:val="00F060FA"/>
    <w:rsid w:val="00F100CB"/>
    <w:rsid w:val="00F10151"/>
    <w:rsid w:val="00F107F5"/>
    <w:rsid w:val="00F12BD2"/>
    <w:rsid w:val="00F136B0"/>
    <w:rsid w:val="00F1607E"/>
    <w:rsid w:val="00F16088"/>
    <w:rsid w:val="00F20347"/>
    <w:rsid w:val="00F21EC6"/>
    <w:rsid w:val="00F2700B"/>
    <w:rsid w:val="00F27EBF"/>
    <w:rsid w:val="00F3099C"/>
    <w:rsid w:val="00F3108F"/>
    <w:rsid w:val="00F31CC3"/>
    <w:rsid w:val="00F34BA1"/>
    <w:rsid w:val="00F35A9A"/>
    <w:rsid w:val="00F36F15"/>
    <w:rsid w:val="00F415FE"/>
    <w:rsid w:val="00F41F87"/>
    <w:rsid w:val="00F44021"/>
    <w:rsid w:val="00F44741"/>
    <w:rsid w:val="00F450BD"/>
    <w:rsid w:val="00F45896"/>
    <w:rsid w:val="00F46580"/>
    <w:rsid w:val="00F469E9"/>
    <w:rsid w:val="00F475B1"/>
    <w:rsid w:val="00F5056C"/>
    <w:rsid w:val="00F523FE"/>
    <w:rsid w:val="00F52BBE"/>
    <w:rsid w:val="00F53493"/>
    <w:rsid w:val="00F57871"/>
    <w:rsid w:val="00F57B56"/>
    <w:rsid w:val="00F61CDA"/>
    <w:rsid w:val="00F635A5"/>
    <w:rsid w:val="00F642DC"/>
    <w:rsid w:val="00F64C21"/>
    <w:rsid w:val="00F655E0"/>
    <w:rsid w:val="00F67535"/>
    <w:rsid w:val="00F7069E"/>
    <w:rsid w:val="00F7459C"/>
    <w:rsid w:val="00F75557"/>
    <w:rsid w:val="00F7604A"/>
    <w:rsid w:val="00F76C24"/>
    <w:rsid w:val="00F77369"/>
    <w:rsid w:val="00F77BF9"/>
    <w:rsid w:val="00F80F85"/>
    <w:rsid w:val="00F81DDE"/>
    <w:rsid w:val="00F81EAB"/>
    <w:rsid w:val="00F81FD4"/>
    <w:rsid w:val="00F82450"/>
    <w:rsid w:val="00F84853"/>
    <w:rsid w:val="00F90DBC"/>
    <w:rsid w:val="00F91421"/>
    <w:rsid w:val="00F919E3"/>
    <w:rsid w:val="00F9238C"/>
    <w:rsid w:val="00F9304C"/>
    <w:rsid w:val="00F930CA"/>
    <w:rsid w:val="00F9328C"/>
    <w:rsid w:val="00F94412"/>
    <w:rsid w:val="00F95408"/>
    <w:rsid w:val="00F97044"/>
    <w:rsid w:val="00F974F7"/>
    <w:rsid w:val="00F97510"/>
    <w:rsid w:val="00F97DFF"/>
    <w:rsid w:val="00F97F67"/>
    <w:rsid w:val="00FA0516"/>
    <w:rsid w:val="00FA0877"/>
    <w:rsid w:val="00FA30CC"/>
    <w:rsid w:val="00FA33D6"/>
    <w:rsid w:val="00FA3598"/>
    <w:rsid w:val="00FA3AE6"/>
    <w:rsid w:val="00FA53C3"/>
    <w:rsid w:val="00FA6E69"/>
    <w:rsid w:val="00FB0D57"/>
    <w:rsid w:val="00FB0FF5"/>
    <w:rsid w:val="00FB1E16"/>
    <w:rsid w:val="00FB6BD5"/>
    <w:rsid w:val="00FB7649"/>
    <w:rsid w:val="00FB7947"/>
    <w:rsid w:val="00FC1A7F"/>
    <w:rsid w:val="00FC53D7"/>
    <w:rsid w:val="00FC62E7"/>
    <w:rsid w:val="00FD3505"/>
    <w:rsid w:val="00FE121C"/>
    <w:rsid w:val="00FE1D66"/>
    <w:rsid w:val="00FE2239"/>
    <w:rsid w:val="00FE2B87"/>
    <w:rsid w:val="00FE613D"/>
    <w:rsid w:val="00FE6E3B"/>
    <w:rsid w:val="00FE706B"/>
    <w:rsid w:val="00FE7A26"/>
    <w:rsid w:val="00FE7A30"/>
    <w:rsid w:val="00FF2AB1"/>
    <w:rsid w:val="00FF2E63"/>
    <w:rsid w:val="00FF38DC"/>
    <w:rsid w:val="00FF3D72"/>
    <w:rsid w:val="00FF442C"/>
    <w:rsid w:val="00FF4673"/>
    <w:rsid w:val="00FF47F7"/>
    <w:rsid w:val="00FF4B2D"/>
    <w:rsid w:val="00FF57C5"/>
    <w:rsid w:val="00FF602E"/>
    <w:rsid w:val="00FF6422"/>
    <w:rsid w:val="00FF70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D1CBE"/>
  <w15:docId w15:val="{092DA184-2DB7-4386-B1CB-547D2BD9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bidi/>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5CA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A65E42"/>
    <w:pPr>
      <w:keepNext/>
      <w:keepLines/>
      <w:bidi w:val="0"/>
      <w:spacing w:before="40" w:line="259" w:lineRule="auto"/>
      <w:jc w:val="left"/>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B45EA9"/>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425D"/>
    <w:pPr>
      <w:bidi w:val="0"/>
      <w:spacing w:before="100" w:beforeAutospacing="1" w:after="100" w:afterAutospacing="1"/>
      <w:jc w:val="left"/>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D425D"/>
    <w:rPr>
      <w:color w:val="0000FF"/>
      <w:u w:val="single"/>
    </w:rPr>
  </w:style>
  <w:style w:type="paragraph" w:styleId="ListParagraph">
    <w:name w:val="List Paragraph"/>
    <w:basedOn w:val="Normal"/>
    <w:link w:val="ListParagraphChar"/>
    <w:uiPriority w:val="34"/>
    <w:qFormat/>
    <w:rsid w:val="005D55FB"/>
    <w:pPr>
      <w:ind w:left="720"/>
      <w:contextualSpacing/>
    </w:pPr>
  </w:style>
  <w:style w:type="paragraph" w:customStyle="1" w:styleId="gmail-msolistparagraph">
    <w:name w:val="gmail-msolistparagraph"/>
    <w:basedOn w:val="Normal"/>
    <w:rsid w:val="00817F35"/>
    <w:pPr>
      <w:bidi w:val="0"/>
      <w:spacing w:before="100" w:beforeAutospacing="1" w:after="100" w:afterAutospacing="1"/>
      <w:jc w:val="left"/>
    </w:pPr>
    <w:rPr>
      <w:rFonts w:ascii="Times New Roman" w:eastAsia="Times New Roman" w:hAnsi="Times New Roman" w:cs="Times New Roman"/>
      <w:sz w:val="24"/>
      <w:szCs w:val="24"/>
    </w:rPr>
  </w:style>
  <w:style w:type="table" w:styleId="TableGrid">
    <w:name w:val="Table Grid"/>
    <w:basedOn w:val="TableNormal"/>
    <w:uiPriority w:val="39"/>
    <w:rsid w:val="008676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2B0A"/>
    <w:pPr>
      <w:tabs>
        <w:tab w:val="center" w:pos="4153"/>
        <w:tab w:val="right" w:pos="8306"/>
      </w:tabs>
    </w:pPr>
  </w:style>
  <w:style w:type="character" w:customStyle="1" w:styleId="HeaderChar">
    <w:name w:val="Header Char"/>
    <w:basedOn w:val="DefaultParagraphFont"/>
    <w:link w:val="Header"/>
    <w:uiPriority w:val="99"/>
    <w:rsid w:val="00362B0A"/>
  </w:style>
  <w:style w:type="paragraph" w:styleId="Footer">
    <w:name w:val="footer"/>
    <w:basedOn w:val="Normal"/>
    <w:link w:val="FooterChar"/>
    <w:uiPriority w:val="99"/>
    <w:unhideWhenUsed/>
    <w:rsid w:val="00362B0A"/>
    <w:pPr>
      <w:tabs>
        <w:tab w:val="center" w:pos="4153"/>
        <w:tab w:val="right" w:pos="8306"/>
      </w:tabs>
    </w:pPr>
  </w:style>
  <w:style w:type="character" w:customStyle="1" w:styleId="FooterChar">
    <w:name w:val="Footer Char"/>
    <w:basedOn w:val="DefaultParagraphFont"/>
    <w:link w:val="Footer"/>
    <w:uiPriority w:val="99"/>
    <w:rsid w:val="00362B0A"/>
  </w:style>
  <w:style w:type="character" w:styleId="Emphasis">
    <w:name w:val="Emphasis"/>
    <w:basedOn w:val="DefaultParagraphFont"/>
    <w:uiPriority w:val="20"/>
    <w:qFormat/>
    <w:rsid w:val="00091AFA"/>
    <w:rPr>
      <w:i/>
      <w:iCs/>
    </w:rPr>
  </w:style>
  <w:style w:type="character" w:customStyle="1" w:styleId="UnresolvedMention1">
    <w:name w:val="Unresolved Mention1"/>
    <w:basedOn w:val="DefaultParagraphFont"/>
    <w:uiPriority w:val="99"/>
    <w:semiHidden/>
    <w:unhideWhenUsed/>
    <w:rsid w:val="00CD3C15"/>
    <w:rPr>
      <w:color w:val="605E5C"/>
      <w:shd w:val="clear" w:color="auto" w:fill="E1DFDD"/>
    </w:rPr>
  </w:style>
  <w:style w:type="character" w:customStyle="1" w:styleId="Heading4Char">
    <w:name w:val="Heading 4 Char"/>
    <w:basedOn w:val="DefaultParagraphFont"/>
    <w:link w:val="Heading4"/>
    <w:uiPriority w:val="9"/>
    <w:rsid w:val="00B45EA9"/>
    <w:rPr>
      <w:rFonts w:asciiTheme="majorHAnsi" w:eastAsiaTheme="majorEastAsia" w:hAnsiTheme="majorHAnsi" w:cstheme="majorBidi"/>
      <w:i/>
      <w:iCs/>
      <w:color w:val="2E74B5" w:themeColor="accent1" w:themeShade="BF"/>
    </w:rPr>
  </w:style>
  <w:style w:type="character" w:styleId="FollowedHyperlink">
    <w:name w:val="FollowedHyperlink"/>
    <w:basedOn w:val="DefaultParagraphFont"/>
    <w:uiPriority w:val="99"/>
    <w:semiHidden/>
    <w:unhideWhenUsed/>
    <w:rsid w:val="00634D75"/>
    <w:rPr>
      <w:color w:val="954F72" w:themeColor="followedHyperlink"/>
      <w:u w:val="single"/>
    </w:rPr>
  </w:style>
  <w:style w:type="character" w:styleId="Strong">
    <w:name w:val="Strong"/>
    <w:basedOn w:val="DefaultParagraphFont"/>
    <w:uiPriority w:val="22"/>
    <w:qFormat/>
    <w:rsid w:val="00032F6A"/>
    <w:rPr>
      <w:b/>
      <w:bCs/>
    </w:rPr>
  </w:style>
  <w:style w:type="character" w:customStyle="1" w:styleId="Heading3Char">
    <w:name w:val="Heading 3 Char"/>
    <w:basedOn w:val="DefaultParagraphFont"/>
    <w:link w:val="Heading3"/>
    <w:uiPriority w:val="9"/>
    <w:rsid w:val="00A65E42"/>
    <w:rPr>
      <w:rFonts w:asciiTheme="majorHAnsi" w:eastAsiaTheme="majorEastAsia" w:hAnsiTheme="majorHAnsi" w:cstheme="majorBidi"/>
      <w:color w:val="1F4D78" w:themeColor="accent1" w:themeShade="7F"/>
      <w:sz w:val="24"/>
      <w:szCs w:val="24"/>
    </w:rPr>
  </w:style>
  <w:style w:type="character" w:customStyle="1" w:styleId="ListParagraphChar">
    <w:name w:val="List Paragraph Char"/>
    <w:link w:val="ListParagraph"/>
    <w:uiPriority w:val="34"/>
    <w:locked/>
    <w:rsid w:val="00A65E42"/>
  </w:style>
  <w:style w:type="character" w:customStyle="1" w:styleId="truncate">
    <w:name w:val="truncate"/>
    <w:basedOn w:val="DefaultParagraphFont"/>
    <w:rsid w:val="00B92037"/>
  </w:style>
  <w:style w:type="character" w:customStyle="1" w:styleId="Heading1Char">
    <w:name w:val="Heading 1 Char"/>
    <w:basedOn w:val="DefaultParagraphFont"/>
    <w:link w:val="Heading1"/>
    <w:uiPriority w:val="9"/>
    <w:rsid w:val="00555CA5"/>
    <w:rPr>
      <w:rFonts w:asciiTheme="majorHAnsi" w:eastAsiaTheme="majorEastAsia" w:hAnsiTheme="majorHAnsi" w:cstheme="majorBidi"/>
      <w:color w:val="2E74B5" w:themeColor="accent1" w:themeShade="BF"/>
      <w:sz w:val="32"/>
      <w:szCs w:val="32"/>
    </w:rPr>
  </w:style>
  <w:style w:type="character" w:customStyle="1" w:styleId="jpfdse">
    <w:name w:val="jpfdse"/>
    <w:basedOn w:val="DefaultParagraphFont"/>
    <w:rsid w:val="008C06FE"/>
  </w:style>
  <w:style w:type="character" w:styleId="CommentReference">
    <w:name w:val="annotation reference"/>
    <w:basedOn w:val="DefaultParagraphFont"/>
    <w:uiPriority w:val="99"/>
    <w:semiHidden/>
    <w:unhideWhenUsed/>
    <w:rsid w:val="00F475B1"/>
    <w:rPr>
      <w:sz w:val="16"/>
      <w:szCs w:val="16"/>
    </w:rPr>
  </w:style>
  <w:style w:type="paragraph" w:styleId="CommentText">
    <w:name w:val="annotation text"/>
    <w:basedOn w:val="Normal"/>
    <w:link w:val="CommentTextChar"/>
    <w:uiPriority w:val="99"/>
    <w:unhideWhenUsed/>
    <w:rsid w:val="00F475B1"/>
    <w:rPr>
      <w:sz w:val="20"/>
      <w:szCs w:val="20"/>
    </w:rPr>
  </w:style>
  <w:style w:type="character" w:customStyle="1" w:styleId="CommentTextChar">
    <w:name w:val="Comment Text Char"/>
    <w:basedOn w:val="DefaultParagraphFont"/>
    <w:link w:val="CommentText"/>
    <w:uiPriority w:val="99"/>
    <w:rsid w:val="00F475B1"/>
    <w:rPr>
      <w:sz w:val="20"/>
      <w:szCs w:val="20"/>
    </w:rPr>
  </w:style>
  <w:style w:type="paragraph" w:styleId="CommentSubject">
    <w:name w:val="annotation subject"/>
    <w:basedOn w:val="CommentText"/>
    <w:next w:val="CommentText"/>
    <w:link w:val="CommentSubjectChar"/>
    <w:uiPriority w:val="99"/>
    <w:semiHidden/>
    <w:unhideWhenUsed/>
    <w:rsid w:val="00F475B1"/>
    <w:rPr>
      <w:b/>
      <w:bCs/>
    </w:rPr>
  </w:style>
  <w:style w:type="character" w:customStyle="1" w:styleId="CommentSubjectChar">
    <w:name w:val="Comment Subject Char"/>
    <w:basedOn w:val="CommentTextChar"/>
    <w:link w:val="CommentSubject"/>
    <w:uiPriority w:val="99"/>
    <w:semiHidden/>
    <w:rsid w:val="00F475B1"/>
    <w:rPr>
      <w:b/>
      <w:bCs/>
      <w:sz w:val="20"/>
      <w:szCs w:val="20"/>
    </w:rPr>
  </w:style>
  <w:style w:type="paragraph" w:styleId="BalloonText">
    <w:name w:val="Balloon Text"/>
    <w:basedOn w:val="Normal"/>
    <w:link w:val="BalloonTextChar"/>
    <w:uiPriority w:val="99"/>
    <w:semiHidden/>
    <w:unhideWhenUsed/>
    <w:rsid w:val="00046E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E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aelegislation.gov.ae/ar/legislations/1976" TargetMode="External"/><Relationship Id="rId18" Type="http://schemas.openxmlformats.org/officeDocument/2006/relationships/hyperlink" Target="https://uaelegislation.gov.ae/ar/legislations/1466" TargetMode="External"/><Relationship Id="rId26" Type="http://schemas.openxmlformats.org/officeDocument/2006/relationships/hyperlink" Target="https://uaelegislation.gov.ae/ar/legislations/2598" TargetMode="External"/><Relationship Id="rId3" Type="http://schemas.openxmlformats.org/officeDocument/2006/relationships/styles" Target="styles.xml"/><Relationship Id="rId21" Type="http://schemas.openxmlformats.org/officeDocument/2006/relationships/hyperlink" Target="https://uaelegislation.gov.ae/ar/legislations/2119" TargetMode="External"/><Relationship Id="rId7" Type="http://schemas.openxmlformats.org/officeDocument/2006/relationships/endnotes" Target="endnotes.xml"/><Relationship Id="rId12" Type="http://schemas.openxmlformats.org/officeDocument/2006/relationships/hyperlink" Target="https://uaelegislation.gov.ae/ar/legislations/1032" TargetMode="External"/><Relationship Id="rId17" Type="http://schemas.openxmlformats.org/officeDocument/2006/relationships/hyperlink" Target="https://uaelegislation.gov.ae/ar/legislations/1455" TargetMode="External"/><Relationship Id="rId25" Type="http://schemas.openxmlformats.org/officeDocument/2006/relationships/hyperlink" Target="https://uaelegislation.gov.ae/ar/legislations/2580"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uaelegislation.gov.ae/ar/legislations/1454" TargetMode="External"/><Relationship Id="rId20" Type="http://schemas.openxmlformats.org/officeDocument/2006/relationships/hyperlink" Target="https://uaelegislation.gov.ae/ar/legislations/1506"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aelegislation.gov.ae/ar/legislations/1438" TargetMode="External"/><Relationship Id="rId24" Type="http://schemas.openxmlformats.org/officeDocument/2006/relationships/hyperlink" Target="https://uaelegislation.gov.ae/ar/legislations/1615"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aelegislation.gov.ae/ar/legislations/1448" TargetMode="External"/><Relationship Id="rId23" Type="http://schemas.openxmlformats.org/officeDocument/2006/relationships/hyperlink" Target="https://uaelegislation.gov.ae/ar/legislations/1528" TargetMode="External"/><Relationship Id="rId28" Type="http://schemas.openxmlformats.org/officeDocument/2006/relationships/hyperlink" Target="https://uaelegislation.gov.ae/ar/legislations/2723" TargetMode="External"/><Relationship Id="rId10" Type="http://schemas.openxmlformats.org/officeDocument/2006/relationships/hyperlink" Target="https://uaelegislation.gov.ae/ar/legislations/1201" TargetMode="External"/><Relationship Id="rId19" Type="http://schemas.openxmlformats.org/officeDocument/2006/relationships/hyperlink" Target="https://uaelegislation.gov.ae/ar/legislations/1500"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info@theuahr.org" TargetMode="External"/><Relationship Id="rId14" Type="http://schemas.openxmlformats.org/officeDocument/2006/relationships/hyperlink" Target="https://uaelegislation.gov.ae/ar/legislations/1446" TargetMode="External"/><Relationship Id="rId22" Type="http://schemas.openxmlformats.org/officeDocument/2006/relationships/hyperlink" Target="https://uaelegislation.gov.ae/ar/legislations/1978" TargetMode="External"/><Relationship Id="rId27" Type="http://schemas.openxmlformats.org/officeDocument/2006/relationships/hyperlink" Target="https://uaelegislation.gov.ae/ar/legislations/2670" TargetMode="External"/><Relationship Id="rId30" Type="http://schemas.openxmlformats.org/officeDocument/2006/relationships/footer" Target="footer1.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C67368-5B54-4831-94C6-952FE96A4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66</Pages>
  <Words>25820</Words>
  <Characters>147180</Characters>
  <Application>Microsoft Office Word</Application>
  <DocSecurity>0</DocSecurity>
  <Lines>1226</Lines>
  <Paragraphs>345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 ALARABI</dc:creator>
  <cp:lastModifiedBy>A. Bustani</cp:lastModifiedBy>
  <cp:revision>26</cp:revision>
  <cp:lastPrinted>2024-12-17T10:02:00Z</cp:lastPrinted>
  <dcterms:created xsi:type="dcterms:W3CDTF">2024-12-17T10:03:00Z</dcterms:created>
  <dcterms:modified xsi:type="dcterms:W3CDTF">2025-08-19T19:31:00Z</dcterms:modified>
</cp:coreProperties>
</file>